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C16E6" w14:textId="77777777" w:rsidR="00724171" w:rsidRDefault="00724171">
      <w:bookmarkStart w:id="0" w:name="_GoBack"/>
      <w:bookmarkEnd w:id="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4"/>
        <w:gridCol w:w="3491"/>
        <w:gridCol w:w="3007"/>
      </w:tblGrid>
      <w:tr w:rsidR="00E45BF2" w:rsidRPr="00EB5379" w14:paraId="6BAEB7A5" w14:textId="77777777" w:rsidTr="000A2655">
        <w:trPr>
          <w:jc w:val="center"/>
        </w:trPr>
        <w:tc>
          <w:tcPr>
            <w:tcW w:w="2574" w:type="dxa"/>
          </w:tcPr>
          <w:p w14:paraId="1637553E" w14:textId="77777777" w:rsidR="00E45BF2" w:rsidRPr="00EB5379" w:rsidRDefault="00E45BF2" w:rsidP="00E45BF2">
            <w:pPr>
              <w:pStyle w:val="berschrift1"/>
              <w:spacing w:before="0" w:after="0"/>
              <w:rPr>
                <w:rFonts w:cs="Arial"/>
                <w:sz w:val="22"/>
                <w:szCs w:val="22"/>
              </w:rPr>
            </w:pPr>
            <w:r w:rsidRPr="00EB5379">
              <w:rPr>
                <w:rFonts w:cs="Arial"/>
                <w:sz w:val="22"/>
                <w:szCs w:val="22"/>
              </w:rPr>
              <w:t>Schlüsselwörter</w:t>
            </w:r>
          </w:p>
        </w:tc>
        <w:tc>
          <w:tcPr>
            <w:tcW w:w="6498" w:type="dxa"/>
            <w:gridSpan w:val="2"/>
          </w:tcPr>
          <w:p w14:paraId="63CDDD46" w14:textId="3EFE0ACF" w:rsidR="00E45BF2" w:rsidRPr="00EB5379" w:rsidRDefault="00B67328" w:rsidP="00B450B7">
            <w:pPr>
              <w:spacing w:after="0" w:line="240" w:lineRule="auto"/>
              <w:rPr>
                <w:rFonts w:ascii="Arial" w:hAnsi="Arial" w:cs="Arial"/>
              </w:rPr>
            </w:pPr>
            <w:r w:rsidRPr="00EB5379">
              <w:rPr>
                <w:rFonts w:ascii="Arial" w:hAnsi="Arial" w:cs="Arial"/>
              </w:rPr>
              <w:t xml:space="preserve">Arzneimittelrisiko; </w:t>
            </w:r>
            <w:r w:rsidR="00141FDB" w:rsidRPr="00EB5379">
              <w:rPr>
                <w:rFonts w:ascii="Arial" w:hAnsi="Arial" w:cs="Arial"/>
              </w:rPr>
              <w:t>Ablaufschema</w:t>
            </w:r>
            <w:r w:rsidR="003E5C7F">
              <w:rPr>
                <w:rFonts w:ascii="Arial" w:hAnsi="Arial" w:cs="Arial"/>
              </w:rPr>
              <w:t>; Rapid Alert; Rückruf</w:t>
            </w:r>
          </w:p>
        </w:tc>
      </w:tr>
      <w:tr w:rsidR="00E45BF2" w:rsidRPr="00EB5379" w14:paraId="37B2C3F4" w14:textId="77777777" w:rsidTr="000A2655">
        <w:trPr>
          <w:jc w:val="center"/>
        </w:trPr>
        <w:tc>
          <w:tcPr>
            <w:tcW w:w="2574" w:type="dxa"/>
          </w:tcPr>
          <w:p w14:paraId="28C82064" w14:textId="77777777" w:rsidR="00E45BF2" w:rsidRPr="00EB5379" w:rsidRDefault="00E45BF2" w:rsidP="00E45BF2">
            <w:pPr>
              <w:pStyle w:val="berschrift1"/>
              <w:spacing w:before="0" w:after="0"/>
              <w:rPr>
                <w:rFonts w:cs="Arial"/>
                <w:sz w:val="22"/>
                <w:szCs w:val="22"/>
              </w:rPr>
            </w:pPr>
            <w:r w:rsidRPr="00EB5379">
              <w:rPr>
                <w:rFonts w:cs="Arial"/>
                <w:sz w:val="22"/>
                <w:szCs w:val="22"/>
              </w:rPr>
              <w:t>zugrunde liegendes QS-Dokument</w:t>
            </w:r>
          </w:p>
        </w:tc>
        <w:tc>
          <w:tcPr>
            <w:tcW w:w="6498" w:type="dxa"/>
            <w:gridSpan w:val="2"/>
          </w:tcPr>
          <w:p w14:paraId="208F6217" w14:textId="772F3B34" w:rsidR="00E45BF2" w:rsidRPr="00EB5379" w:rsidRDefault="00560733" w:rsidP="003E5C7F">
            <w:pPr>
              <w:spacing w:after="0" w:line="240" w:lineRule="auto"/>
              <w:rPr>
                <w:rFonts w:ascii="Arial" w:hAnsi="Arial" w:cs="Arial"/>
              </w:rPr>
            </w:pPr>
            <w:r>
              <w:rPr>
                <w:rFonts w:ascii="Arial" w:hAnsi="Arial" w:cs="Arial"/>
              </w:rPr>
              <w:t xml:space="preserve">VAW </w:t>
            </w:r>
            <w:r w:rsidR="00B67328" w:rsidRPr="00EB5379">
              <w:rPr>
                <w:rFonts w:ascii="Arial" w:hAnsi="Arial" w:cs="Arial"/>
              </w:rPr>
              <w:t>1211</w:t>
            </w:r>
            <w:r w:rsidR="003E5C7F">
              <w:rPr>
                <w:rFonts w:ascii="Arial" w:hAnsi="Arial" w:cs="Arial"/>
              </w:rPr>
              <w:t>1</w:t>
            </w:r>
            <w:r w:rsidR="00B67328" w:rsidRPr="00EB5379">
              <w:rPr>
                <w:rFonts w:ascii="Arial" w:hAnsi="Arial" w:cs="Arial"/>
              </w:rPr>
              <w:t>1 „</w:t>
            </w:r>
            <w:r w:rsidR="003E5C7F" w:rsidRPr="003E5C7F">
              <w:rPr>
                <w:rFonts w:ascii="Arial" w:hAnsi="Arial" w:cs="Arial"/>
              </w:rPr>
              <w:t>Rapid-Alert-Meldungen der Klassen I und II (RA I, RA II); Rückrufe</w:t>
            </w:r>
            <w:r w:rsidR="00B67328" w:rsidRPr="00EB5379">
              <w:rPr>
                <w:rFonts w:ascii="Arial" w:hAnsi="Arial" w:cs="Arial"/>
              </w:rPr>
              <w:t>“</w:t>
            </w:r>
          </w:p>
        </w:tc>
      </w:tr>
      <w:tr w:rsidR="00141FDB" w:rsidRPr="00EB5379" w14:paraId="607D9DE9" w14:textId="77777777" w:rsidTr="000A2655">
        <w:trPr>
          <w:jc w:val="center"/>
        </w:trPr>
        <w:tc>
          <w:tcPr>
            <w:tcW w:w="2574" w:type="dxa"/>
            <w:tcBorders>
              <w:bottom w:val="single" w:sz="4" w:space="0" w:color="auto"/>
            </w:tcBorders>
          </w:tcPr>
          <w:p w14:paraId="601438F0" w14:textId="77777777" w:rsidR="00141FDB" w:rsidRPr="00EB5379" w:rsidRDefault="00141FDB" w:rsidP="00141FDB">
            <w:pPr>
              <w:spacing w:after="0" w:line="240" w:lineRule="auto"/>
              <w:rPr>
                <w:rFonts w:ascii="Arial" w:hAnsi="Arial" w:cs="Arial"/>
                <w:b/>
                <w:bCs/>
              </w:rPr>
            </w:pPr>
            <w:r w:rsidRPr="00EB5379">
              <w:rPr>
                <w:rFonts w:ascii="Arial" w:hAnsi="Arial" w:cs="Arial"/>
                <w:b/>
                <w:bCs/>
              </w:rPr>
              <w:t>Querverweise</w:t>
            </w:r>
          </w:p>
        </w:tc>
        <w:tc>
          <w:tcPr>
            <w:tcW w:w="6498" w:type="dxa"/>
            <w:gridSpan w:val="2"/>
          </w:tcPr>
          <w:p w14:paraId="02D92C1A" w14:textId="0DFD2D91" w:rsidR="00141FDB" w:rsidRPr="00EB5379" w:rsidRDefault="003E5C7F" w:rsidP="00141FDB">
            <w:pPr>
              <w:spacing w:after="0" w:line="240" w:lineRule="auto"/>
              <w:rPr>
                <w:rFonts w:ascii="Arial" w:hAnsi="Arial" w:cs="Arial"/>
              </w:rPr>
            </w:pPr>
            <w:r w:rsidRPr="00EB5379">
              <w:rPr>
                <w:rFonts w:ascii="Arial" w:hAnsi="Arial" w:cs="Arial"/>
              </w:rPr>
              <w:t>VAW 1211</w:t>
            </w:r>
            <w:r>
              <w:rPr>
                <w:rFonts w:ascii="Arial" w:hAnsi="Arial" w:cs="Arial"/>
              </w:rPr>
              <w:t>1</w:t>
            </w:r>
            <w:r w:rsidRPr="00EB5379">
              <w:rPr>
                <w:rFonts w:ascii="Arial" w:hAnsi="Arial" w:cs="Arial"/>
              </w:rPr>
              <w:t>1, Kap. 1 und 3.1</w:t>
            </w:r>
          </w:p>
        </w:tc>
      </w:tr>
      <w:tr w:rsidR="00141FDB" w:rsidRPr="00EB5379" w14:paraId="32B594D7" w14:textId="77777777" w:rsidTr="000A2655">
        <w:trPr>
          <w:jc w:val="center"/>
        </w:trPr>
        <w:tc>
          <w:tcPr>
            <w:tcW w:w="6065" w:type="dxa"/>
            <w:gridSpan w:val="2"/>
            <w:tcBorders>
              <w:left w:val="nil"/>
              <w:bottom w:val="single" w:sz="4" w:space="0" w:color="auto"/>
            </w:tcBorders>
            <w:vAlign w:val="center"/>
          </w:tcPr>
          <w:p w14:paraId="4E1FE3E4" w14:textId="77777777" w:rsidR="00141FDB" w:rsidRPr="00EB5379" w:rsidRDefault="00141FDB" w:rsidP="00141FDB">
            <w:pPr>
              <w:spacing w:after="0" w:line="240" w:lineRule="auto"/>
              <w:rPr>
                <w:rFonts w:ascii="Arial" w:hAnsi="Arial" w:cs="Arial"/>
              </w:rPr>
            </w:pPr>
          </w:p>
        </w:tc>
        <w:tc>
          <w:tcPr>
            <w:tcW w:w="3007" w:type="dxa"/>
            <w:vAlign w:val="center"/>
          </w:tcPr>
          <w:p w14:paraId="3876700E" w14:textId="77777777" w:rsidR="00141FDB" w:rsidRPr="00EB5379" w:rsidRDefault="00141FDB" w:rsidP="00141FDB">
            <w:pPr>
              <w:spacing w:after="0" w:line="240" w:lineRule="auto"/>
              <w:jc w:val="center"/>
              <w:rPr>
                <w:rFonts w:ascii="Arial" w:hAnsi="Arial" w:cs="Arial"/>
              </w:rPr>
            </w:pPr>
          </w:p>
        </w:tc>
      </w:tr>
      <w:tr w:rsidR="00141FDB" w:rsidRPr="00EB5379" w14:paraId="493063C3" w14:textId="77777777" w:rsidTr="000A2655">
        <w:trPr>
          <w:jc w:val="center"/>
        </w:trPr>
        <w:tc>
          <w:tcPr>
            <w:tcW w:w="2574" w:type="dxa"/>
            <w:tcBorders>
              <w:bottom w:val="single" w:sz="4" w:space="0" w:color="auto"/>
            </w:tcBorders>
            <w:vAlign w:val="center"/>
          </w:tcPr>
          <w:p w14:paraId="7B1BC814" w14:textId="77777777" w:rsidR="00141FDB" w:rsidRPr="00EB5379" w:rsidRDefault="00141FDB" w:rsidP="00141FDB">
            <w:pPr>
              <w:spacing w:after="0" w:line="240" w:lineRule="auto"/>
              <w:rPr>
                <w:rFonts w:ascii="Arial" w:hAnsi="Arial" w:cs="Arial"/>
                <w:b/>
                <w:bCs/>
              </w:rPr>
            </w:pPr>
            <w:r w:rsidRPr="00EB5379">
              <w:rPr>
                <w:rFonts w:ascii="Arial" w:hAnsi="Arial" w:cs="Arial"/>
                <w:b/>
                <w:bCs/>
              </w:rPr>
              <w:t>fachlich geprüft</w:t>
            </w:r>
          </w:p>
        </w:tc>
        <w:tc>
          <w:tcPr>
            <w:tcW w:w="3491" w:type="dxa"/>
            <w:tcBorders>
              <w:bottom w:val="single" w:sz="4" w:space="0" w:color="auto"/>
            </w:tcBorders>
            <w:vAlign w:val="center"/>
          </w:tcPr>
          <w:p w14:paraId="73D7AE82" w14:textId="77777777" w:rsidR="00141FDB" w:rsidRPr="00EB5379" w:rsidRDefault="00141FDB" w:rsidP="00141FDB">
            <w:pPr>
              <w:spacing w:after="0" w:line="240" w:lineRule="auto"/>
              <w:rPr>
                <w:rFonts w:ascii="Arial" w:hAnsi="Arial" w:cs="Arial"/>
              </w:rPr>
            </w:pPr>
            <w:r w:rsidRPr="00EB5379">
              <w:rPr>
                <w:rFonts w:ascii="Arial" w:hAnsi="Arial" w:cs="Arial"/>
              </w:rPr>
              <w:t>Alexander Kammerlocher (EFG 01)</w:t>
            </w:r>
          </w:p>
        </w:tc>
        <w:tc>
          <w:tcPr>
            <w:tcW w:w="3007" w:type="dxa"/>
            <w:vAlign w:val="center"/>
          </w:tcPr>
          <w:p w14:paraId="344EAC2F" w14:textId="3DCEEB63" w:rsidR="00141FDB" w:rsidRPr="00EB5379" w:rsidRDefault="00A33B34" w:rsidP="00AE49AC">
            <w:pPr>
              <w:spacing w:after="0" w:line="240" w:lineRule="auto"/>
              <w:jc w:val="center"/>
              <w:rPr>
                <w:rFonts w:ascii="Arial" w:hAnsi="Arial" w:cs="Arial"/>
              </w:rPr>
            </w:pPr>
            <w:r w:rsidRPr="00A33B34">
              <w:rPr>
                <w:rFonts w:ascii="Arial" w:hAnsi="Arial" w:cs="Arial"/>
              </w:rPr>
              <w:t>18.01.2023</w:t>
            </w:r>
          </w:p>
        </w:tc>
      </w:tr>
      <w:tr w:rsidR="00141FDB" w:rsidRPr="00EB5379" w14:paraId="55F18BC2" w14:textId="77777777" w:rsidTr="000A2655">
        <w:trPr>
          <w:jc w:val="center"/>
        </w:trPr>
        <w:tc>
          <w:tcPr>
            <w:tcW w:w="2574" w:type="dxa"/>
            <w:vAlign w:val="center"/>
          </w:tcPr>
          <w:p w14:paraId="606FFDC3" w14:textId="77777777" w:rsidR="00141FDB" w:rsidRPr="00EB5379" w:rsidRDefault="00141FDB" w:rsidP="00141FDB">
            <w:pPr>
              <w:spacing w:after="0" w:line="240" w:lineRule="auto"/>
              <w:rPr>
                <w:rFonts w:ascii="Arial" w:hAnsi="Arial" w:cs="Arial"/>
                <w:b/>
                <w:bCs/>
              </w:rPr>
            </w:pPr>
            <w:r w:rsidRPr="00EB5379">
              <w:rPr>
                <w:rFonts w:ascii="Arial" w:hAnsi="Arial" w:cs="Arial"/>
                <w:b/>
                <w:bCs/>
              </w:rPr>
              <w:t>formell geprüft</w:t>
            </w:r>
          </w:p>
        </w:tc>
        <w:tc>
          <w:tcPr>
            <w:tcW w:w="3491" w:type="dxa"/>
            <w:vAlign w:val="center"/>
          </w:tcPr>
          <w:p w14:paraId="43671E72" w14:textId="77777777" w:rsidR="00141FDB" w:rsidRPr="00EB5379" w:rsidRDefault="00141FDB" w:rsidP="00141FDB">
            <w:pPr>
              <w:spacing w:after="0" w:line="240" w:lineRule="auto"/>
              <w:rPr>
                <w:rFonts w:ascii="Arial" w:hAnsi="Arial" w:cs="Arial"/>
              </w:rPr>
            </w:pPr>
            <w:r w:rsidRPr="00EB5379">
              <w:rPr>
                <w:rFonts w:ascii="Arial" w:hAnsi="Arial" w:cs="Arial"/>
              </w:rPr>
              <w:t>Dr. Katrin Reder-Christ (ZLG)</w:t>
            </w:r>
          </w:p>
        </w:tc>
        <w:tc>
          <w:tcPr>
            <w:tcW w:w="3007" w:type="dxa"/>
            <w:vAlign w:val="center"/>
          </w:tcPr>
          <w:p w14:paraId="6607D7E0" w14:textId="7CCCA254" w:rsidR="00141FDB" w:rsidRPr="00EB5379" w:rsidRDefault="000747EC" w:rsidP="006B5F78">
            <w:pPr>
              <w:spacing w:after="0" w:line="240" w:lineRule="auto"/>
              <w:jc w:val="center"/>
              <w:rPr>
                <w:rFonts w:ascii="Arial" w:hAnsi="Arial" w:cs="Arial"/>
              </w:rPr>
            </w:pPr>
            <w:r>
              <w:rPr>
                <w:rFonts w:ascii="Arial" w:hAnsi="Arial" w:cs="Arial"/>
              </w:rPr>
              <w:t>06</w:t>
            </w:r>
            <w:r w:rsidR="00B0615E">
              <w:rPr>
                <w:rFonts w:ascii="Arial" w:hAnsi="Arial" w:cs="Arial"/>
              </w:rPr>
              <w:t>.02</w:t>
            </w:r>
            <w:r w:rsidR="00A33B34" w:rsidRPr="00A33B34">
              <w:rPr>
                <w:rFonts w:ascii="Arial" w:hAnsi="Arial" w:cs="Arial"/>
              </w:rPr>
              <w:t>.2023</w:t>
            </w:r>
          </w:p>
        </w:tc>
      </w:tr>
      <w:tr w:rsidR="00141FDB" w:rsidRPr="00EB5379" w14:paraId="5C2401AD" w14:textId="77777777" w:rsidTr="000A2655">
        <w:trPr>
          <w:trHeight w:val="17"/>
          <w:jc w:val="center"/>
        </w:trPr>
        <w:tc>
          <w:tcPr>
            <w:tcW w:w="2574" w:type="dxa"/>
            <w:vAlign w:val="center"/>
          </w:tcPr>
          <w:p w14:paraId="2E8B7415" w14:textId="49B74875" w:rsidR="00141FDB" w:rsidRPr="00EB5379" w:rsidRDefault="00141FDB" w:rsidP="009D0FB3">
            <w:pPr>
              <w:spacing w:after="0" w:line="240" w:lineRule="auto"/>
              <w:rPr>
                <w:rFonts w:ascii="Arial" w:hAnsi="Arial" w:cs="Arial"/>
                <w:b/>
                <w:bCs/>
              </w:rPr>
            </w:pPr>
            <w:r w:rsidRPr="00EB5379">
              <w:rPr>
                <w:rFonts w:ascii="Arial" w:hAnsi="Arial" w:cs="Arial"/>
                <w:b/>
                <w:bCs/>
              </w:rPr>
              <w:t>Co</w:t>
            </w:r>
            <w:r w:rsidR="009D0FB3" w:rsidRPr="00EB5379">
              <w:rPr>
                <w:rFonts w:ascii="Arial" w:hAnsi="Arial" w:cs="Arial"/>
                <w:b/>
                <w:bCs/>
              </w:rPr>
              <w:t>U</w:t>
            </w:r>
            <w:r w:rsidRPr="00EB5379">
              <w:rPr>
                <w:rFonts w:ascii="Arial" w:hAnsi="Arial" w:cs="Arial"/>
                <w:b/>
                <w:bCs/>
              </w:rPr>
              <w:t>P-Vorgabe</w:t>
            </w:r>
          </w:p>
        </w:tc>
        <w:tc>
          <w:tcPr>
            <w:tcW w:w="6498" w:type="dxa"/>
            <w:gridSpan w:val="2"/>
            <w:vAlign w:val="center"/>
          </w:tcPr>
          <w:p w14:paraId="36F124F8" w14:textId="77777777" w:rsidR="00141FDB" w:rsidRPr="00EB5379" w:rsidRDefault="00153768" w:rsidP="00141FDB">
            <w:pPr>
              <w:spacing w:after="0" w:line="240" w:lineRule="auto"/>
              <w:jc w:val="center"/>
              <w:rPr>
                <w:rFonts w:ascii="Arial" w:hAnsi="Arial" w:cs="Arial"/>
              </w:rPr>
            </w:pPr>
            <w:sdt>
              <w:sdtPr>
                <w:rPr>
                  <w:rFonts w:ascii="Arial" w:hAnsi="Arial" w:cs="Arial"/>
                </w:rPr>
                <w:id w:val="567072028"/>
                <w14:checkbox>
                  <w14:checked w14:val="0"/>
                  <w14:checkedState w14:val="2612" w14:font="MS Gothic"/>
                  <w14:uncheckedState w14:val="2610" w14:font="MS Gothic"/>
                </w14:checkbox>
              </w:sdtPr>
              <w:sdtEndPr/>
              <w:sdtContent>
                <w:r w:rsidR="00141FDB" w:rsidRPr="00EB5379">
                  <w:rPr>
                    <w:rFonts w:ascii="MS Gothic" w:eastAsia="MS Gothic" w:hAnsi="MS Gothic" w:cs="Arial" w:hint="eastAsia"/>
                  </w:rPr>
                  <w:t>☐</w:t>
                </w:r>
              </w:sdtContent>
            </w:sdt>
            <w:r w:rsidR="00141FDB" w:rsidRPr="00EB5379">
              <w:rPr>
                <w:rFonts w:ascii="Arial" w:hAnsi="Arial" w:cs="Arial"/>
              </w:rPr>
              <w:t xml:space="preserve"> Ja</w:t>
            </w:r>
            <w:r w:rsidR="00141FDB" w:rsidRPr="00EB5379">
              <w:rPr>
                <w:rFonts w:ascii="Arial" w:hAnsi="Arial" w:cs="Arial"/>
              </w:rPr>
              <w:tab/>
            </w:r>
            <w:r w:rsidR="00141FDB" w:rsidRPr="00EB5379">
              <w:rPr>
                <w:rFonts w:ascii="Arial" w:hAnsi="Arial" w:cs="Arial"/>
              </w:rPr>
              <w:tab/>
            </w:r>
            <w:sdt>
              <w:sdtPr>
                <w:rPr>
                  <w:rFonts w:ascii="Arial" w:hAnsi="Arial" w:cs="Arial"/>
                </w:rPr>
                <w:id w:val="101470580"/>
                <w14:checkbox>
                  <w14:checked w14:val="1"/>
                  <w14:checkedState w14:val="2612" w14:font="MS Gothic"/>
                  <w14:uncheckedState w14:val="2610" w14:font="MS Gothic"/>
                </w14:checkbox>
              </w:sdtPr>
              <w:sdtEndPr/>
              <w:sdtContent>
                <w:r w:rsidR="00141FDB" w:rsidRPr="00EB5379">
                  <w:rPr>
                    <w:rFonts w:ascii="MS Gothic" w:eastAsia="MS Gothic" w:hAnsi="MS Gothic" w:cs="Arial" w:hint="eastAsia"/>
                  </w:rPr>
                  <w:t>☒</w:t>
                </w:r>
              </w:sdtContent>
            </w:sdt>
            <w:r w:rsidR="00141FDB" w:rsidRPr="00EB5379">
              <w:rPr>
                <w:rFonts w:ascii="Arial" w:hAnsi="Arial" w:cs="Arial"/>
              </w:rPr>
              <w:t xml:space="preserve"> Nein</w:t>
            </w:r>
          </w:p>
        </w:tc>
      </w:tr>
      <w:tr w:rsidR="00141FDB" w:rsidRPr="00EB5379" w14:paraId="70085F0B" w14:textId="77777777" w:rsidTr="000A2655">
        <w:trPr>
          <w:trHeight w:val="20"/>
          <w:jc w:val="center"/>
        </w:trPr>
        <w:tc>
          <w:tcPr>
            <w:tcW w:w="2574" w:type="dxa"/>
            <w:vMerge w:val="restart"/>
          </w:tcPr>
          <w:p w14:paraId="6C6143E7" w14:textId="77777777" w:rsidR="00141FDB" w:rsidRPr="00EB5379" w:rsidRDefault="00141FDB" w:rsidP="00141FDB">
            <w:pPr>
              <w:spacing w:after="0" w:line="240" w:lineRule="auto"/>
              <w:rPr>
                <w:rFonts w:ascii="Arial" w:hAnsi="Arial" w:cs="Arial"/>
                <w:b/>
                <w:bCs/>
              </w:rPr>
            </w:pPr>
            <w:r w:rsidRPr="00EB5379">
              <w:rPr>
                <w:rFonts w:ascii="Arial" w:hAnsi="Arial" w:cs="Arial"/>
                <w:b/>
                <w:bCs/>
              </w:rPr>
              <w:t>Pflichtformular</w:t>
            </w:r>
          </w:p>
        </w:tc>
        <w:tc>
          <w:tcPr>
            <w:tcW w:w="6498" w:type="dxa"/>
            <w:gridSpan w:val="2"/>
            <w:tcBorders>
              <w:bottom w:val="single" w:sz="4" w:space="0" w:color="BFBFBF" w:themeColor="background1" w:themeShade="BF"/>
            </w:tcBorders>
            <w:vAlign w:val="center"/>
          </w:tcPr>
          <w:p w14:paraId="6A76F0FF" w14:textId="77777777" w:rsidR="00141FDB" w:rsidRPr="00EB5379" w:rsidRDefault="00153768" w:rsidP="00141FDB">
            <w:pPr>
              <w:spacing w:after="0" w:line="240" w:lineRule="auto"/>
              <w:jc w:val="center"/>
              <w:rPr>
                <w:rFonts w:ascii="Arial" w:hAnsi="Arial" w:cs="Arial"/>
              </w:rPr>
            </w:pPr>
            <w:sdt>
              <w:sdtPr>
                <w:rPr>
                  <w:rFonts w:ascii="Arial" w:hAnsi="Arial" w:cs="Arial"/>
                </w:rPr>
                <w:id w:val="1315839468"/>
                <w14:checkbox>
                  <w14:checked w14:val="0"/>
                  <w14:checkedState w14:val="2612" w14:font="MS Gothic"/>
                  <w14:uncheckedState w14:val="2610" w14:font="MS Gothic"/>
                </w14:checkbox>
              </w:sdtPr>
              <w:sdtEndPr/>
              <w:sdtContent>
                <w:r w:rsidR="00141FDB" w:rsidRPr="00EB5379">
                  <w:rPr>
                    <w:rFonts w:ascii="MS Gothic" w:eastAsia="MS Gothic" w:hAnsi="MS Gothic" w:cs="Arial" w:hint="eastAsia"/>
                  </w:rPr>
                  <w:t>☐</w:t>
                </w:r>
              </w:sdtContent>
            </w:sdt>
            <w:r w:rsidR="00141FDB" w:rsidRPr="00EB5379">
              <w:rPr>
                <w:rFonts w:ascii="Arial" w:hAnsi="Arial" w:cs="Arial"/>
              </w:rPr>
              <w:t xml:space="preserve"> Ja</w:t>
            </w:r>
            <w:r w:rsidR="00141FDB" w:rsidRPr="00EB5379">
              <w:rPr>
                <w:rFonts w:ascii="Arial" w:hAnsi="Arial" w:cs="Arial"/>
              </w:rPr>
              <w:tab/>
            </w:r>
            <w:r w:rsidR="00141FDB" w:rsidRPr="00EB5379">
              <w:rPr>
                <w:rFonts w:ascii="Arial" w:hAnsi="Arial" w:cs="Arial"/>
              </w:rPr>
              <w:tab/>
            </w:r>
            <w:sdt>
              <w:sdtPr>
                <w:rPr>
                  <w:rFonts w:ascii="Arial" w:hAnsi="Arial" w:cs="Arial"/>
                </w:rPr>
                <w:id w:val="697038996"/>
                <w14:checkbox>
                  <w14:checked w14:val="1"/>
                  <w14:checkedState w14:val="2612" w14:font="MS Gothic"/>
                  <w14:uncheckedState w14:val="2610" w14:font="MS Gothic"/>
                </w14:checkbox>
              </w:sdtPr>
              <w:sdtEndPr/>
              <w:sdtContent>
                <w:r w:rsidR="00141FDB" w:rsidRPr="00EB5379">
                  <w:rPr>
                    <w:rFonts w:ascii="MS Gothic" w:eastAsia="MS Gothic" w:hAnsi="MS Gothic" w:cs="Arial" w:hint="eastAsia"/>
                  </w:rPr>
                  <w:t>☒</w:t>
                </w:r>
              </w:sdtContent>
            </w:sdt>
            <w:r w:rsidR="00141FDB" w:rsidRPr="00EB5379">
              <w:rPr>
                <w:rFonts w:ascii="Arial" w:hAnsi="Arial" w:cs="Arial"/>
              </w:rPr>
              <w:t xml:space="preserve"> Nein</w:t>
            </w:r>
          </w:p>
        </w:tc>
      </w:tr>
      <w:tr w:rsidR="00141FDB" w:rsidRPr="00EB5379" w14:paraId="16E96075" w14:textId="77777777" w:rsidTr="000A2655">
        <w:trPr>
          <w:jc w:val="center"/>
        </w:trPr>
        <w:tc>
          <w:tcPr>
            <w:tcW w:w="2574" w:type="dxa"/>
            <w:vMerge/>
            <w:tcBorders>
              <w:bottom w:val="single" w:sz="4" w:space="0" w:color="auto"/>
            </w:tcBorders>
            <w:vAlign w:val="center"/>
          </w:tcPr>
          <w:p w14:paraId="0C33253B" w14:textId="77777777" w:rsidR="00141FDB" w:rsidRPr="00EB5379" w:rsidRDefault="00141FDB" w:rsidP="00141FDB">
            <w:pPr>
              <w:spacing w:after="0" w:line="240" w:lineRule="auto"/>
              <w:rPr>
                <w:rFonts w:ascii="Arial" w:hAnsi="Arial" w:cs="Arial"/>
                <w:b/>
                <w:bCs/>
              </w:rPr>
            </w:pPr>
          </w:p>
        </w:tc>
        <w:tc>
          <w:tcPr>
            <w:tcW w:w="6498" w:type="dxa"/>
            <w:gridSpan w:val="2"/>
            <w:tcBorders>
              <w:top w:val="single" w:sz="4" w:space="0" w:color="BFBFBF" w:themeColor="background1" w:themeShade="BF"/>
              <w:bottom w:val="single" w:sz="4" w:space="0" w:color="auto"/>
            </w:tcBorders>
            <w:vAlign w:val="center"/>
          </w:tcPr>
          <w:p w14:paraId="5EA25361" w14:textId="5E27439F" w:rsidR="00141FDB" w:rsidRPr="00EB5379" w:rsidRDefault="00141FDB" w:rsidP="00141FDB">
            <w:pPr>
              <w:spacing w:after="120" w:line="240" w:lineRule="auto"/>
              <w:jc w:val="both"/>
              <w:rPr>
                <w:rFonts w:ascii="Arial" w:hAnsi="Arial" w:cs="Arial"/>
              </w:rPr>
            </w:pPr>
            <w:r w:rsidRPr="00EB5379">
              <w:rPr>
                <w:rFonts w:ascii="Arial" w:hAnsi="Arial" w:cs="Arial"/>
              </w:rPr>
              <w:t>Das Ablaufschema und die Hinweise mit Erläuterungen wurden zwischen den für die Arzneimittelüberwachung zuständigen Landesbehörden, den zuständigen obersten Landesbehörden, den zuständigen Bundesoberbehörden und der ZLG als gemeinsames Qualitätsdokument vereinbart.</w:t>
            </w:r>
          </w:p>
          <w:p w14:paraId="21280235" w14:textId="71286EEE" w:rsidR="00141FDB" w:rsidRPr="00EB5379" w:rsidRDefault="00141FDB" w:rsidP="00141FDB">
            <w:pPr>
              <w:spacing w:after="0" w:line="240" w:lineRule="auto"/>
              <w:jc w:val="both"/>
              <w:rPr>
                <w:rFonts w:ascii="Arial" w:hAnsi="Arial" w:cs="Arial"/>
              </w:rPr>
            </w:pPr>
            <w:r w:rsidRPr="00EB5379">
              <w:rPr>
                <w:rFonts w:ascii="Arial" w:hAnsi="Arial" w:cs="Arial"/>
              </w:rPr>
              <w:t>Sofern einer der Beteiligten Änderungsbedarf feststellt, ist dieser mit allen Beteiligten abzustimmen und ggf. das Schema inkl. Erläuterungen anzupassen.</w:t>
            </w:r>
          </w:p>
        </w:tc>
      </w:tr>
      <w:tr w:rsidR="00141FDB" w:rsidRPr="00EB5379" w14:paraId="3EBA61EB" w14:textId="77777777" w:rsidTr="000A2655">
        <w:trPr>
          <w:jc w:val="center"/>
        </w:trPr>
        <w:tc>
          <w:tcPr>
            <w:tcW w:w="6065" w:type="dxa"/>
            <w:gridSpan w:val="2"/>
            <w:tcBorders>
              <w:left w:val="nil"/>
            </w:tcBorders>
            <w:vAlign w:val="center"/>
          </w:tcPr>
          <w:p w14:paraId="12261AA2" w14:textId="77777777" w:rsidR="00141FDB" w:rsidRPr="00EB5379" w:rsidRDefault="00141FDB" w:rsidP="00141FDB">
            <w:pPr>
              <w:spacing w:after="0" w:line="240" w:lineRule="auto"/>
              <w:rPr>
                <w:rFonts w:ascii="Arial" w:hAnsi="Arial" w:cs="Arial"/>
              </w:rPr>
            </w:pPr>
          </w:p>
        </w:tc>
        <w:tc>
          <w:tcPr>
            <w:tcW w:w="3007" w:type="dxa"/>
            <w:vAlign w:val="center"/>
          </w:tcPr>
          <w:p w14:paraId="5AD8802F" w14:textId="77777777" w:rsidR="00141FDB" w:rsidRPr="00EB5379" w:rsidRDefault="00141FDB" w:rsidP="00141FDB">
            <w:pPr>
              <w:spacing w:after="0" w:line="240" w:lineRule="auto"/>
              <w:rPr>
                <w:rFonts w:ascii="Arial" w:hAnsi="Arial" w:cs="Arial"/>
              </w:rPr>
            </w:pPr>
          </w:p>
        </w:tc>
      </w:tr>
      <w:tr w:rsidR="00141FDB" w:rsidRPr="00EB5379" w14:paraId="4E3930FA" w14:textId="77777777" w:rsidTr="000A2655">
        <w:trPr>
          <w:trHeight w:val="385"/>
          <w:jc w:val="center"/>
        </w:trPr>
        <w:tc>
          <w:tcPr>
            <w:tcW w:w="2574" w:type="dxa"/>
            <w:vAlign w:val="center"/>
          </w:tcPr>
          <w:p w14:paraId="0F4B3BDB" w14:textId="77777777" w:rsidR="00141FDB" w:rsidRPr="00EB5379" w:rsidRDefault="00141FDB" w:rsidP="00141FDB">
            <w:pPr>
              <w:spacing w:after="0" w:line="240" w:lineRule="auto"/>
              <w:rPr>
                <w:rFonts w:ascii="Arial" w:hAnsi="Arial" w:cs="Arial"/>
                <w:b/>
                <w:bCs/>
              </w:rPr>
            </w:pPr>
            <w:r w:rsidRPr="00EB5379">
              <w:rPr>
                <w:rFonts w:ascii="Arial" w:hAnsi="Arial" w:cs="Arial"/>
                <w:b/>
                <w:bCs/>
              </w:rPr>
              <w:t>im QS-System gültig ab</w:t>
            </w:r>
          </w:p>
        </w:tc>
        <w:tc>
          <w:tcPr>
            <w:tcW w:w="3491" w:type="dxa"/>
            <w:vAlign w:val="center"/>
          </w:tcPr>
          <w:p w14:paraId="5443FEF9" w14:textId="77777777" w:rsidR="00141FDB" w:rsidRPr="00EB5379" w:rsidRDefault="00141FDB" w:rsidP="00141FDB">
            <w:pPr>
              <w:spacing w:after="0" w:line="240" w:lineRule="auto"/>
              <w:rPr>
                <w:rFonts w:ascii="Arial" w:hAnsi="Arial" w:cs="Arial"/>
              </w:rPr>
            </w:pPr>
          </w:p>
        </w:tc>
        <w:tc>
          <w:tcPr>
            <w:tcW w:w="3007" w:type="dxa"/>
            <w:vAlign w:val="center"/>
          </w:tcPr>
          <w:p w14:paraId="4F997C0F" w14:textId="60F47AFA" w:rsidR="00141FDB" w:rsidRPr="00EB5379" w:rsidRDefault="000747EC" w:rsidP="00141FDB">
            <w:pPr>
              <w:spacing w:after="0" w:line="240" w:lineRule="auto"/>
              <w:jc w:val="center"/>
              <w:rPr>
                <w:rFonts w:ascii="Arial" w:hAnsi="Arial" w:cs="Arial"/>
              </w:rPr>
            </w:pPr>
            <w:r>
              <w:rPr>
                <w:rFonts w:ascii="Arial" w:hAnsi="Arial" w:cs="Arial"/>
              </w:rPr>
              <w:t>06.02.2023</w:t>
            </w:r>
          </w:p>
        </w:tc>
      </w:tr>
      <w:tr w:rsidR="00141FDB" w:rsidRPr="00EB5379" w14:paraId="433FDAAE" w14:textId="77777777" w:rsidTr="00C55977">
        <w:trPr>
          <w:trHeight w:val="1372"/>
          <w:jc w:val="center"/>
        </w:trPr>
        <w:tc>
          <w:tcPr>
            <w:tcW w:w="2574" w:type="dxa"/>
            <w:tcBorders>
              <w:bottom w:val="single" w:sz="4" w:space="0" w:color="auto"/>
            </w:tcBorders>
            <w:vAlign w:val="center"/>
          </w:tcPr>
          <w:p w14:paraId="0318C562" w14:textId="77777777" w:rsidR="00141FDB" w:rsidRPr="00EB5379" w:rsidRDefault="00141FDB" w:rsidP="00141FDB">
            <w:pPr>
              <w:spacing w:after="0" w:line="240" w:lineRule="auto"/>
              <w:rPr>
                <w:rFonts w:ascii="Arial" w:hAnsi="Arial" w:cs="Arial"/>
                <w:b/>
                <w:bCs/>
              </w:rPr>
            </w:pPr>
            <w:r w:rsidRPr="00EB5379">
              <w:rPr>
                <w:rFonts w:ascii="Arial" w:hAnsi="Arial" w:cs="Arial"/>
                <w:b/>
                <w:bCs/>
              </w:rPr>
              <w:t>in Kraft gesetzt</w:t>
            </w:r>
          </w:p>
        </w:tc>
        <w:tc>
          <w:tcPr>
            <w:tcW w:w="3491" w:type="dxa"/>
            <w:vAlign w:val="center"/>
          </w:tcPr>
          <w:p w14:paraId="6858FCEB" w14:textId="77777777" w:rsidR="00141FDB" w:rsidRPr="00EB5379" w:rsidRDefault="00141FDB" w:rsidP="00141FDB">
            <w:pPr>
              <w:spacing w:after="0" w:line="240" w:lineRule="auto"/>
              <w:jc w:val="center"/>
              <w:rPr>
                <w:rFonts w:ascii="Arial" w:hAnsi="Arial" w:cs="Arial"/>
              </w:rPr>
            </w:pPr>
          </w:p>
        </w:tc>
        <w:tc>
          <w:tcPr>
            <w:tcW w:w="3007" w:type="dxa"/>
            <w:vAlign w:val="center"/>
          </w:tcPr>
          <w:p w14:paraId="38EBA5AE" w14:textId="77777777" w:rsidR="00141FDB" w:rsidRPr="00EB5379" w:rsidRDefault="00141FDB" w:rsidP="00141FDB">
            <w:pPr>
              <w:spacing w:after="0" w:line="240" w:lineRule="auto"/>
              <w:jc w:val="center"/>
              <w:rPr>
                <w:rFonts w:ascii="Arial" w:hAnsi="Arial" w:cs="Arial"/>
              </w:rPr>
            </w:pPr>
          </w:p>
        </w:tc>
      </w:tr>
    </w:tbl>
    <w:p w14:paraId="03B51038" w14:textId="77777777" w:rsidR="00B7144C" w:rsidRPr="00EB5379" w:rsidRDefault="00B7144C">
      <w:pPr>
        <w:sectPr w:rsidR="00B7144C" w:rsidRPr="00EB5379" w:rsidSect="00724171">
          <w:headerReference w:type="default" r:id="rId8"/>
          <w:footerReference w:type="default" r:id="rId9"/>
          <w:headerReference w:type="first" r:id="rId10"/>
          <w:footerReference w:type="first" r:id="rId11"/>
          <w:pgSz w:w="11906" w:h="16838"/>
          <w:pgMar w:top="1417" w:right="1417" w:bottom="1134" w:left="1417" w:header="708" w:footer="227" w:gutter="0"/>
          <w:cols w:space="708"/>
          <w:formProt w:val="0"/>
          <w:titlePg/>
          <w:docGrid w:linePitch="360"/>
        </w:sectPr>
      </w:pPr>
    </w:p>
    <w:p w14:paraId="026950BF" w14:textId="312D266C" w:rsidR="00372FD3" w:rsidRPr="00EB5379" w:rsidRDefault="003E5C7F" w:rsidP="00CF6661">
      <w:pPr>
        <w:pStyle w:val="SOPTextneu2021"/>
        <w:ind w:left="0"/>
        <w:rPr>
          <w:b/>
          <w:sz w:val="28"/>
          <w:szCs w:val="28"/>
        </w:rPr>
      </w:pPr>
      <w:r w:rsidRPr="00EB5379">
        <w:rPr>
          <w:b/>
          <w:noProof/>
          <w:sz w:val="28"/>
          <w:szCs w:val="28"/>
        </w:rPr>
        <w:lastRenderedPageBreak/>
        <mc:AlternateContent>
          <mc:Choice Requires="wps">
            <w:drawing>
              <wp:anchor distT="0" distB="0" distL="114300" distR="114300" simplePos="0" relativeHeight="251659264" behindDoc="0" locked="0" layoutInCell="1" allowOverlap="1" wp14:anchorId="117757F2" wp14:editId="050685D6">
                <wp:simplePos x="0" y="0"/>
                <wp:positionH relativeFrom="margin">
                  <wp:align>left</wp:align>
                </wp:positionH>
                <wp:positionV relativeFrom="paragraph">
                  <wp:posOffset>267466</wp:posOffset>
                </wp:positionV>
                <wp:extent cx="6248400" cy="4689695"/>
                <wp:effectExtent l="0" t="0" r="0" b="0"/>
                <wp:wrapNone/>
                <wp:docPr id="2" name="Abgerundetes Rechteck 2"/>
                <wp:cNvGraphicFramePr/>
                <a:graphic xmlns:a="http://schemas.openxmlformats.org/drawingml/2006/main">
                  <a:graphicData uri="http://schemas.microsoft.com/office/word/2010/wordprocessingShape">
                    <wps:wsp>
                      <wps:cNvSpPr/>
                      <wps:spPr>
                        <a:xfrm>
                          <a:off x="0" y="0"/>
                          <a:ext cx="6248400" cy="4689695"/>
                        </a:xfrm>
                        <a:prstGeom prst="roundRect">
                          <a:avLst>
                            <a:gd name="adj" fmla="val 6840"/>
                          </a:avLst>
                        </a:prstGeom>
                        <a:solidFill>
                          <a:srgbClr val="7F7F7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BC447" id="Abgerundetes Rechteck 2" o:spid="_x0000_s1026" style="position:absolute;margin-left:0;margin-top:21.05pt;width:492pt;height:36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" fillcolor="#7f7f7f" stroked="f" strokeweight="1pt">
                <v:fill opacity="32896f"/>
                <v:stroke joinstyle="miter"/>
                <w10:wrap anchorx="margin"/>
              </v:roundrect>
            </w:pict>
          </mc:Fallback>
        </mc:AlternateContent>
      </w:r>
      <w:r w:rsidR="00372FD3" w:rsidRPr="00EB5379">
        <w:rPr>
          <w:b/>
          <w:sz w:val="28"/>
          <w:szCs w:val="28"/>
        </w:rPr>
        <w:t>Informationswege und Ablaufschaubild bei Risikomeldungen</w:t>
      </w:r>
    </w:p>
    <w:p w14:paraId="610D009F" w14:textId="5D26FD2D" w:rsidR="00372FD3" w:rsidRPr="00EB5379" w:rsidRDefault="001A0B61">
      <w:pPr>
        <w:rPr>
          <w:rFonts w:ascii="Arial" w:hAnsi="Arial" w:cs="Arial"/>
          <w:b/>
          <w:color w:val="000000"/>
          <w:sz w:val="28"/>
          <w:szCs w:val="28"/>
          <w:lang w:eastAsia="de-DE"/>
        </w:rPr>
      </w:pPr>
      <w:r w:rsidRPr="00EB5379">
        <w:rPr>
          <w:b/>
          <w:noProof/>
          <w:sz w:val="28"/>
          <w:szCs w:val="28"/>
          <w:lang w:eastAsia="de-DE"/>
        </w:rPr>
        <w:drawing>
          <wp:inline distT="0" distB="0" distL="0" distR="0" wp14:anchorId="2E7FBAEC" wp14:editId="696E4FBA">
            <wp:extent cx="5760000" cy="865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8654400"/>
                    </a:xfrm>
                    <a:prstGeom prst="rect">
                      <a:avLst/>
                    </a:prstGeom>
                    <a:noFill/>
                  </pic:spPr>
                </pic:pic>
              </a:graphicData>
            </a:graphic>
          </wp:inline>
        </w:drawing>
      </w:r>
      <w:r w:rsidR="00372FD3" w:rsidRPr="00EB5379">
        <w:rPr>
          <w:b/>
          <w:sz w:val="28"/>
          <w:szCs w:val="28"/>
        </w:rPr>
        <w:br w:type="page"/>
      </w:r>
    </w:p>
    <w:p w14:paraId="26ED3724" w14:textId="77777777" w:rsidR="00372FD3" w:rsidRPr="00EB5379" w:rsidRDefault="00372FD3" w:rsidP="00372FD3">
      <w:pPr>
        <w:widowControl w:val="0"/>
        <w:spacing w:after="240"/>
        <w:jc w:val="center"/>
        <w:rPr>
          <w:rFonts w:ascii="Arial" w:hAnsi="Arial" w:cs="Arial"/>
          <w:b/>
          <w:u w:val="single"/>
        </w:rPr>
      </w:pPr>
      <w:r w:rsidRPr="00EB5379">
        <w:rPr>
          <w:rFonts w:ascii="Arial" w:hAnsi="Arial" w:cs="Arial"/>
          <w:b/>
          <w:u w:val="single"/>
        </w:rPr>
        <w:lastRenderedPageBreak/>
        <w:t>Hinweise und Erläuterungen zum gemeinsamen Schnittstellendokument</w:t>
      </w:r>
      <w:r w:rsidRPr="00EB5379">
        <w:rPr>
          <w:rFonts w:ascii="Arial" w:hAnsi="Arial" w:cs="Arial"/>
          <w:b/>
          <w:u w:val="single"/>
        </w:rPr>
        <w:br/>
        <w:t>der Bundesoberbehörden und der Landesbehörden</w:t>
      </w:r>
    </w:p>
    <w:p w14:paraId="75692DA0" w14:textId="77777777" w:rsidR="00372FD3" w:rsidRPr="00EB5379" w:rsidRDefault="00372FD3" w:rsidP="00372FD3">
      <w:pPr>
        <w:spacing w:before="60" w:after="60"/>
        <w:rPr>
          <w:rFonts w:ascii="Arial" w:hAnsi="Arial" w:cs="Arial"/>
          <w:b/>
          <w:u w:val="single"/>
        </w:rPr>
      </w:pPr>
      <w:r w:rsidRPr="00EB5379">
        <w:rPr>
          <w:rFonts w:ascii="Arial" w:hAnsi="Arial" w:cs="Arial"/>
          <w:b/>
          <w:u w:val="single"/>
        </w:rPr>
        <w:t>Allgemeine Hinweise (Präambel)</w:t>
      </w:r>
    </w:p>
    <w:p w14:paraId="5F085340" w14:textId="0A2D75F2" w:rsidR="00372FD3" w:rsidRPr="00153768" w:rsidRDefault="00372FD3" w:rsidP="00963706">
      <w:pPr>
        <w:spacing w:before="60" w:after="60"/>
        <w:jc w:val="both"/>
        <w:rPr>
          <w:rFonts w:ascii="Arial" w:hAnsi="Arial" w:cs="Arial"/>
        </w:rPr>
      </w:pPr>
      <w:r w:rsidRPr="00EB5379">
        <w:rPr>
          <w:rFonts w:ascii="Arial" w:hAnsi="Arial" w:cs="Arial"/>
        </w:rPr>
        <w:t xml:space="preserve">Der dargestellte Gesamtablauf dient dazu, </w:t>
      </w:r>
      <w:r w:rsidRPr="00153768">
        <w:rPr>
          <w:rFonts w:ascii="Arial" w:hAnsi="Arial" w:cs="Arial"/>
        </w:rPr>
        <w:t>alle Beteiligten über die grundsätzlichen Verfahrensschritte</w:t>
      </w:r>
      <w:r w:rsidR="00AA1287" w:rsidRPr="00153768">
        <w:rPr>
          <w:rFonts w:ascii="Arial" w:hAnsi="Arial" w:cs="Arial"/>
        </w:rPr>
        <w:t xml:space="preserve"> beim Umgang mit </w:t>
      </w:r>
      <w:r w:rsidR="00A97EB2" w:rsidRPr="00153768">
        <w:rPr>
          <w:rFonts w:ascii="Arial" w:hAnsi="Arial" w:cs="Arial"/>
        </w:rPr>
        <w:t xml:space="preserve">möglichen </w:t>
      </w:r>
      <w:r w:rsidR="00645E95" w:rsidRPr="00153768">
        <w:rPr>
          <w:rFonts w:ascii="Arial" w:hAnsi="Arial" w:cs="Arial"/>
        </w:rPr>
        <w:t>Qualitätsmängeln</w:t>
      </w:r>
      <w:r w:rsidR="00A97EB2" w:rsidRPr="00153768">
        <w:rPr>
          <w:rFonts w:ascii="Arial" w:hAnsi="Arial" w:cs="Arial"/>
        </w:rPr>
        <w:t xml:space="preserve"> und Rapid Alert-Meldungen der Klasse I/II </w:t>
      </w:r>
      <w:r w:rsidRPr="00153768">
        <w:rPr>
          <w:rFonts w:ascii="Arial" w:hAnsi="Arial" w:cs="Arial"/>
        </w:rPr>
        <w:t>zu informieren – auch solche, die sich außerhalb der eigenen Zuständigkeiten befinden. Die Umsetzung dieses Ablaufs</w:t>
      </w:r>
      <w:r w:rsidR="00645E95" w:rsidRPr="00153768">
        <w:rPr>
          <w:rFonts w:ascii="Arial" w:hAnsi="Arial" w:cs="Arial"/>
        </w:rPr>
        <w:t xml:space="preserve"> und auch zugrundeliegender rechtlicher Vorgaben</w:t>
      </w:r>
      <w:r w:rsidR="00AA1287" w:rsidRPr="00153768">
        <w:rPr>
          <w:rFonts w:ascii="Arial" w:hAnsi="Arial" w:cs="Arial"/>
        </w:rPr>
        <w:t xml:space="preserve"> in eigene QS-Dokumente</w:t>
      </w:r>
      <w:r w:rsidR="00A97EB2" w:rsidRPr="00153768">
        <w:rPr>
          <w:rStyle w:val="Funotenzeichen"/>
          <w:rFonts w:ascii="Arial" w:hAnsi="Arial" w:cs="Arial"/>
        </w:rPr>
        <w:footnoteReference w:id="1"/>
      </w:r>
      <w:r w:rsidRPr="00153768">
        <w:rPr>
          <w:rFonts w:ascii="Arial" w:hAnsi="Arial" w:cs="Arial"/>
        </w:rPr>
        <w:t xml:space="preserve"> liegt in der Zuständigkeit der beteiligten Behörden.</w:t>
      </w:r>
    </w:p>
    <w:p w14:paraId="47DAD942" w14:textId="1BE52D1E" w:rsidR="00963706" w:rsidRPr="00153768" w:rsidRDefault="00963706" w:rsidP="00963706">
      <w:pPr>
        <w:spacing w:before="60" w:after="60"/>
        <w:jc w:val="both"/>
        <w:rPr>
          <w:rFonts w:ascii="Arial" w:hAnsi="Arial" w:cs="Arial"/>
        </w:rPr>
      </w:pPr>
      <w:r w:rsidRPr="00153768">
        <w:rPr>
          <w:rFonts w:ascii="Arial" w:hAnsi="Arial" w:cs="Arial"/>
        </w:rPr>
        <w:t xml:space="preserve">Der </w:t>
      </w:r>
      <w:r w:rsidR="00AD5A6D" w:rsidRPr="00153768">
        <w:rPr>
          <w:rFonts w:ascii="Arial" w:hAnsi="Arial" w:cs="Arial"/>
        </w:rPr>
        <w:t>obere</w:t>
      </w:r>
      <w:r w:rsidRPr="00153768">
        <w:rPr>
          <w:rFonts w:ascii="Arial" w:hAnsi="Arial" w:cs="Arial"/>
        </w:rPr>
        <w:t xml:space="preserve"> Teil des Schemas (Vorgehen bei </w:t>
      </w:r>
      <w:r w:rsidR="00AD5A6D" w:rsidRPr="00153768">
        <w:rPr>
          <w:rFonts w:ascii="Arial" w:hAnsi="Arial" w:cs="Arial"/>
        </w:rPr>
        <w:t>möglichen Qualitätsdefekten</w:t>
      </w:r>
      <w:r w:rsidRPr="00153768">
        <w:rPr>
          <w:rFonts w:ascii="Arial" w:hAnsi="Arial" w:cs="Arial"/>
        </w:rPr>
        <w:t>) wird in der VAW 1211</w:t>
      </w:r>
      <w:r w:rsidR="00AD5A6D" w:rsidRPr="00153768">
        <w:rPr>
          <w:rFonts w:ascii="Arial" w:hAnsi="Arial" w:cs="Arial"/>
        </w:rPr>
        <w:t>0</w:t>
      </w:r>
      <w:r w:rsidRPr="00153768">
        <w:rPr>
          <w:rFonts w:ascii="Arial" w:hAnsi="Arial" w:cs="Arial"/>
        </w:rPr>
        <w:t>1 beschrieben. Er ist aus diesem Grund im Schema ausgegraut, ebenso wie die dazu gehörenden Erläuterungen.</w:t>
      </w:r>
    </w:p>
    <w:p w14:paraId="5D6EAF77" w14:textId="19BD2BC4" w:rsidR="00372FD3" w:rsidRPr="00EB5379" w:rsidRDefault="002C5F66" w:rsidP="00372FD3">
      <w:pPr>
        <w:spacing w:before="240" w:after="60"/>
        <w:ind w:right="-851"/>
        <w:rPr>
          <w:rFonts w:ascii="Arial" w:hAnsi="Arial" w:cs="Arial"/>
          <w:b/>
          <w:u w:val="single"/>
        </w:rPr>
      </w:pPr>
      <w:r w:rsidRPr="00153768">
        <w:rPr>
          <w:rFonts w:ascii="Arial" w:hAnsi="Arial" w:cs="Arial"/>
          <w:b/>
          <w:u w:val="single"/>
        </w:rPr>
        <w:t>Rolle der Bundesoberbehörden</w:t>
      </w:r>
    </w:p>
    <w:p w14:paraId="7A4E53AD" w14:textId="21B1E3B3" w:rsidR="00372FD3" w:rsidRPr="00EB5379" w:rsidRDefault="00372FD3" w:rsidP="00963706">
      <w:pPr>
        <w:spacing w:before="60" w:after="60"/>
        <w:jc w:val="both"/>
        <w:rPr>
          <w:rFonts w:ascii="Arial" w:hAnsi="Arial" w:cs="Arial"/>
        </w:rPr>
      </w:pPr>
      <w:r w:rsidRPr="00EB5379">
        <w:rPr>
          <w:rFonts w:ascii="Arial" w:hAnsi="Arial" w:cs="Arial"/>
        </w:rPr>
        <w:t>Die zuständige Bundesoberbehörde hat zur Verhütung einer unmittelbaren oder mittelbaren Gefährdung der Gesundheit von Mensch oder Tier die bei der Anwendung von Arzneimitteln auftretenden Risiken, insbesondere Nebenwirkungen, Wechselwirkungen mit anderen Mitteln, Risiken durch gefälschte Arzneimittel oder gefälschte Wirkstoffe sowie potenzielle Risiken für die Umwelt auf Grund der Anwendung eines Tierarzneimittels, zentral zu erfassen, auszuwerten und die nach diesem Gesetz zu ergreifenden Maßnahmen zu koordinieren.</w:t>
      </w:r>
      <w:r w:rsidR="0036407F" w:rsidRPr="00EB5379">
        <w:t xml:space="preserve"> </w:t>
      </w:r>
      <w:r w:rsidR="0036407F" w:rsidRPr="00EB5379">
        <w:rPr>
          <w:rFonts w:ascii="Arial" w:hAnsi="Arial" w:cs="Arial"/>
        </w:rPr>
        <w:t>Insbesondere koordiniert sie Maßnahmen bei Rückrufen von Arzneimitteln und im Zusammenhang mit Qualitätsmängeln bei Wirkstoffen.</w:t>
      </w:r>
    </w:p>
    <w:p w14:paraId="3988EF9B" w14:textId="77777777" w:rsidR="00AA1287" w:rsidRPr="00EB5379" w:rsidRDefault="00AA1287" w:rsidP="00963706">
      <w:pPr>
        <w:spacing w:before="240" w:after="60"/>
        <w:ind w:right="-851"/>
        <w:rPr>
          <w:lang w:val="en-GB"/>
        </w:rPr>
      </w:pPr>
      <w:proofErr w:type="spellStart"/>
      <w:r w:rsidRPr="00EB5379">
        <w:rPr>
          <w:rFonts w:ascii="Arial" w:hAnsi="Arial" w:cs="Arial"/>
          <w:b/>
          <w:u w:val="single"/>
          <w:lang w:val="en-GB"/>
        </w:rPr>
        <w:t>Referenz</w:t>
      </w:r>
      <w:proofErr w:type="spellEnd"/>
      <w:r w:rsidRPr="00EB5379">
        <w:rPr>
          <w:rFonts w:ascii="Arial" w:hAnsi="Arial" w:cs="Arial"/>
          <w:b/>
          <w:u w:val="single"/>
          <w:lang w:val="en-GB"/>
        </w:rPr>
        <w:t xml:space="preserve"> </w:t>
      </w:r>
      <w:proofErr w:type="spellStart"/>
      <w:r w:rsidRPr="00EB5379">
        <w:rPr>
          <w:rFonts w:ascii="Arial" w:hAnsi="Arial" w:cs="Arial"/>
          <w:b/>
          <w:u w:val="single"/>
          <w:lang w:val="en-GB"/>
        </w:rPr>
        <w:t>zur</w:t>
      </w:r>
      <w:proofErr w:type="spellEnd"/>
      <w:r w:rsidRPr="00EB5379">
        <w:rPr>
          <w:rFonts w:ascii="Arial" w:hAnsi="Arial" w:cs="Arial"/>
          <w:b/>
          <w:u w:val="single"/>
          <w:lang w:val="en-GB"/>
        </w:rPr>
        <w:t xml:space="preserve"> CoUP</w:t>
      </w:r>
      <w:r w:rsidR="00372FD3" w:rsidRPr="00EB5379">
        <w:rPr>
          <w:rFonts w:ascii="Arial" w:hAnsi="Arial" w:cs="Arial"/>
          <w:b/>
          <w:u w:val="single"/>
          <w:lang w:val="en-GB"/>
        </w:rPr>
        <w:t>:</w:t>
      </w:r>
    </w:p>
    <w:p w14:paraId="49E8CE2F" w14:textId="23D0A01F" w:rsidR="00AA1287" w:rsidRPr="00EB5379" w:rsidRDefault="00AA1287" w:rsidP="00AA1287">
      <w:pPr>
        <w:spacing w:before="60" w:after="60"/>
        <w:rPr>
          <w:rFonts w:ascii="Arial" w:hAnsi="Arial" w:cs="Arial"/>
          <w:lang w:val="en-GB"/>
        </w:rPr>
      </w:pPr>
      <w:r w:rsidRPr="00EB5379">
        <w:rPr>
          <w:rFonts w:ascii="Arial" w:hAnsi="Arial" w:cs="Arial"/>
          <w:lang w:val="en-GB"/>
        </w:rPr>
        <w:t>Compilation of Union Procedures on Inspections and Exchange of Information (</w:t>
      </w:r>
      <w:r w:rsidR="00153768" w:rsidRPr="00153768">
        <w:rPr>
          <w:rFonts w:ascii="Arial" w:hAnsi="Arial" w:cs="Arial"/>
          <w:lang w:val="en-GB"/>
        </w:rPr>
        <w:t>EMA/224865/2022 Rev 18 Corr.</w:t>
      </w:r>
      <w:r w:rsidRPr="00EB5379">
        <w:rPr>
          <w:rFonts w:ascii="Arial" w:hAnsi="Arial" w:cs="Arial"/>
          <w:lang w:val="en-GB"/>
        </w:rPr>
        <w:t>)</w:t>
      </w:r>
    </w:p>
    <w:p w14:paraId="033AB60C" w14:textId="17381273" w:rsidR="00AA1287" w:rsidRPr="00EB5379" w:rsidRDefault="00AA1287" w:rsidP="00AA1287">
      <w:pPr>
        <w:numPr>
          <w:ilvl w:val="0"/>
          <w:numId w:val="14"/>
        </w:numPr>
        <w:spacing w:after="120"/>
        <w:ind w:left="284" w:hanging="284"/>
        <w:rPr>
          <w:rFonts w:ascii="Arial" w:hAnsi="Arial" w:cs="Arial"/>
          <w:lang w:val="en-GB"/>
        </w:rPr>
      </w:pPr>
      <w:r w:rsidRPr="00EB5379">
        <w:rPr>
          <w:rFonts w:ascii="Arial" w:hAnsi="Arial" w:cs="Arial"/>
          <w:lang w:val="en-GB"/>
        </w:rPr>
        <w:t>Management and classification of reports of suspected quality defects in medicinal products and risk-based decision-making</w:t>
      </w:r>
    </w:p>
    <w:p w14:paraId="70AD2431" w14:textId="732A99F2" w:rsidR="00AA1287" w:rsidRPr="00EB5379" w:rsidRDefault="00AA1287" w:rsidP="00AA1287">
      <w:pPr>
        <w:numPr>
          <w:ilvl w:val="0"/>
          <w:numId w:val="14"/>
        </w:numPr>
        <w:spacing w:after="120"/>
        <w:ind w:left="284" w:hanging="284"/>
        <w:rPr>
          <w:rFonts w:ascii="Arial" w:hAnsi="Arial" w:cs="Arial"/>
          <w:lang w:val="en-GB"/>
        </w:rPr>
      </w:pPr>
      <w:r w:rsidRPr="00EB5379">
        <w:rPr>
          <w:rFonts w:ascii="Arial" w:hAnsi="Arial" w:cs="Arial"/>
          <w:lang w:val="en-GB"/>
        </w:rPr>
        <w:t>Procedure for managing rapid alerts arising from quality defects risk assessment</w:t>
      </w:r>
    </w:p>
    <w:p w14:paraId="041EEB64" w14:textId="77777777" w:rsidR="00372FD3" w:rsidRPr="00EB5379" w:rsidRDefault="00372FD3" w:rsidP="00372FD3">
      <w:pPr>
        <w:spacing w:before="240" w:after="60"/>
        <w:ind w:right="-851"/>
        <w:rPr>
          <w:rFonts w:ascii="Arial" w:hAnsi="Arial" w:cs="Arial"/>
          <w:b/>
          <w:u w:val="single"/>
        </w:rPr>
      </w:pPr>
      <w:r w:rsidRPr="00EB5379">
        <w:rPr>
          <w:rFonts w:ascii="Arial" w:hAnsi="Arial" w:cs="Arial"/>
          <w:b/>
          <w:u w:val="single"/>
        </w:rPr>
        <w:t>Abkürzungen</w:t>
      </w:r>
    </w:p>
    <w:p w14:paraId="31391579"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AMG</w:t>
      </w:r>
      <w:r w:rsidRPr="00EB5379">
        <w:rPr>
          <w:rFonts w:ascii="Arial" w:hAnsi="Arial" w:cs="Arial"/>
        </w:rPr>
        <w:tab/>
        <w:t>Arzneimittelgesetz; Gesetz über den Verkehr mit Arzneimitteln</w:t>
      </w:r>
    </w:p>
    <w:p w14:paraId="75F99AFF"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BfArM</w:t>
      </w:r>
      <w:r w:rsidRPr="00EB5379">
        <w:rPr>
          <w:rFonts w:ascii="Arial" w:hAnsi="Arial" w:cs="Arial"/>
        </w:rPr>
        <w:tab/>
        <w:t>Bundesinstitut für Arzneimittel und Medizinprodukte; BOB im Geschäftsbereich des BMG</w:t>
      </w:r>
    </w:p>
    <w:p w14:paraId="03BC12E4"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BMEL</w:t>
      </w:r>
      <w:r w:rsidRPr="00EB5379">
        <w:rPr>
          <w:rFonts w:ascii="Arial" w:hAnsi="Arial" w:cs="Arial"/>
        </w:rPr>
        <w:tab/>
        <w:t>Bundesministerium für Ernährung und Landwirtschaft</w:t>
      </w:r>
    </w:p>
    <w:p w14:paraId="612D57D1"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BMG</w:t>
      </w:r>
      <w:r w:rsidRPr="00EB5379">
        <w:rPr>
          <w:rFonts w:ascii="Arial" w:hAnsi="Arial" w:cs="Arial"/>
        </w:rPr>
        <w:tab/>
        <w:t>Bundesministerium für Gesundheit</w:t>
      </w:r>
    </w:p>
    <w:p w14:paraId="238EE676"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BOB(s)</w:t>
      </w:r>
      <w:r w:rsidRPr="00EB5379">
        <w:rPr>
          <w:rFonts w:ascii="Arial" w:hAnsi="Arial" w:cs="Arial"/>
        </w:rPr>
        <w:tab/>
        <w:t>Bundesoberbehörde(n)</w:t>
      </w:r>
    </w:p>
    <w:p w14:paraId="3C2C082C"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BVL</w:t>
      </w:r>
      <w:r w:rsidRPr="00EB5379">
        <w:rPr>
          <w:rFonts w:ascii="Arial" w:hAnsi="Arial" w:cs="Arial"/>
        </w:rPr>
        <w:tab/>
        <w:t>Bundesamt für Verbraucherschutz und Lebensmittelsicherheit; BOB im Geschäftsbereich des BMEL</w:t>
      </w:r>
    </w:p>
    <w:p w14:paraId="00424885" w14:textId="5670C1C3" w:rsidR="00372FD3" w:rsidRPr="00EB5379" w:rsidRDefault="00963706" w:rsidP="00372FD3">
      <w:pPr>
        <w:tabs>
          <w:tab w:val="left" w:pos="993"/>
        </w:tabs>
        <w:ind w:left="993" w:right="-851" w:hanging="993"/>
        <w:rPr>
          <w:rFonts w:ascii="Arial" w:hAnsi="Arial" w:cs="Arial"/>
          <w:lang w:val="en-US"/>
        </w:rPr>
      </w:pPr>
      <w:r w:rsidRPr="00EB5379">
        <w:rPr>
          <w:rFonts w:ascii="Arial" w:hAnsi="Arial" w:cs="Arial"/>
          <w:lang w:val="en-US"/>
        </w:rPr>
        <w:t>CoU</w:t>
      </w:r>
      <w:r w:rsidR="00372FD3" w:rsidRPr="00EB5379">
        <w:rPr>
          <w:rFonts w:ascii="Arial" w:hAnsi="Arial" w:cs="Arial"/>
          <w:lang w:val="en-US"/>
        </w:rPr>
        <w:t>P</w:t>
      </w:r>
      <w:r w:rsidR="00372FD3" w:rsidRPr="00EB5379">
        <w:rPr>
          <w:rFonts w:ascii="Arial" w:hAnsi="Arial" w:cs="Arial"/>
          <w:lang w:val="en-US"/>
        </w:rPr>
        <w:tab/>
        <w:t xml:space="preserve">Compilation of </w:t>
      </w:r>
      <w:r w:rsidRPr="00EB5379">
        <w:rPr>
          <w:rFonts w:ascii="Arial" w:hAnsi="Arial" w:cs="Arial"/>
          <w:lang w:val="en-US"/>
        </w:rPr>
        <w:t>Union</w:t>
      </w:r>
      <w:r w:rsidR="00372FD3" w:rsidRPr="00EB5379">
        <w:rPr>
          <w:rFonts w:ascii="Arial" w:hAnsi="Arial" w:cs="Arial"/>
          <w:lang w:val="en-US"/>
        </w:rPr>
        <w:t xml:space="preserve"> Procedures on Inspections and Exchange of Information</w:t>
      </w:r>
    </w:p>
    <w:p w14:paraId="09E4C334"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DAZ</w:t>
      </w:r>
      <w:r w:rsidRPr="00EB5379">
        <w:rPr>
          <w:rFonts w:ascii="Arial" w:hAnsi="Arial" w:cs="Arial"/>
        </w:rPr>
        <w:tab/>
        <w:t>Deutsche Apotheker Zeitung</w:t>
      </w:r>
    </w:p>
    <w:p w14:paraId="28214DCD"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DE</w:t>
      </w:r>
      <w:r w:rsidRPr="00EB5379">
        <w:rPr>
          <w:rFonts w:ascii="Arial" w:hAnsi="Arial" w:cs="Arial"/>
        </w:rPr>
        <w:tab/>
        <w:t>Deutschland</w:t>
      </w:r>
    </w:p>
    <w:p w14:paraId="20B28443"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EMA</w:t>
      </w:r>
      <w:r w:rsidRPr="00EB5379">
        <w:rPr>
          <w:rFonts w:ascii="Arial" w:hAnsi="Arial" w:cs="Arial"/>
        </w:rPr>
        <w:tab/>
        <w:t xml:space="preserve">European </w:t>
      </w:r>
      <w:proofErr w:type="spellStart"/>
      <w:r w:rsidRPr="00EB5379">
        <w:rPr>
          <w:rFonts w:ascii="Arial" w:hAnsi="Arial" w:cs="Arial"/>
        </w:rPr>
        <w:t>Medicines</w:t>
      </w:r>
      <w:proofErr w:type="spellEnd"/>
      <w:r w:rsidRPr="00EB5379">
        <w:rPr>
          <w:rFonts w:ascii="Arial" w:hAnsi="Arial" w:cs="Arial"/>
        </w:rPr>
        <w:t xml:space="preserve"> Agency</w:t>
      </w:r>
    </w:p>
    <w:p w14:paraId="7B88BDEA"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lastRenderedPageBreak/>
        <w:t>EU</w:t>
      </w:r>
      <w:r w:rsidRPr="00EB5379">
        <w:rPr>
          <w:rFonts w:ascii="Arial" w:hAnsi="Arial" w:cs="Arial"/>
        </w:rPr>
        <w:tab/>
        <w:t>Europäische Union</w:t>
      </w:r>
    </w:p>
    <w:p w14:paraId="47EAABB6"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 xml:space="preserve">EU-MS </w:t>
      </w:r>
      <w:r w:rsidRPr="00EB5379">
        <w:rPr>
          <w:rFonts w:ascii="Arial" w:hAnsi="Arial" w:cs="Arial"/>
        </w:rPr>
        <w:tab/>
        <w:t>Mitgliedstaat(en) der Europäischen Union</w:t>
      </w:r>
    </w:p>
    <w:p w14:paraId="10CA445B"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LB(s)</w:t>
      </w:r>
      <w:r w:rsidRPr="00EB5379">
        <w:rPr>
          <w:rFonts w:ascii="Arial" w:hAnsi="Arial" w:cs="Arial"/>
        </w:rPr>
        <w:tab/>
        <w:t>Landesbehörde(n)</w:t>
      </w:r>
    </w:p>
    <w:p w14:paraId="3AAD055D" w14:textId="77777777" w:rsidR="00372FD3" w:rsidRPr="00EB5379" w:rsidRDefault="00372FD3" w:rsidP="00372FD3">
      <w:pPr>
        <w:tabs>
          <w:tab w:val="left" w:pos="993"/>
        </w:tabs>
        <w:ind w:left="993" w:right="-851" w:hanging="993"/>
        <w:rPr>
          <w:rFonts w:ascii="Arial" w:hAnsi="Arial" w:cs="Arial"/>
        </w:rPr>
      </w:pPr>
      <w:r w:rsidRPr="00EB5379">
        <w:rPr>
          <w:rFonts w:ascii="Arial" w:hAnsi="Arial" w:cs="Arial"/>
        </w:rPr>
        <w:t>MAH</w:t>
      </w:r>
      <w:r w:rsidRPr="00EB5379">
        <w:rPr>
          <w:rFonts w:ascii="Arial" w:hAnsi="Arial" w:cs="Arial"/>
        </w:rPr>
        <w:tab/>
      </w:r>
      <w:proofErr w:type="spellStart"/>
      <w:r w:rsidRPr="00EB5379">
        <w:rPr>
          <w:rFonts w:ascii="Arial" w:hAnsi="Arial" w:cs="Arial"/>
        </w:rPr>
        <w:t>marketing</w:t>
      </w:r>
      <w:proofErr w:type="spellEnd"/>
      <w:r w:rsidRPr="00EB5379">
        <w:rPr>
          <w:rFonts w:ascii="Arial" w:hAnsi="Arial" w:cs="Arial"/>
        </w:rPr>
        <w:t xml:space="preserve"> </w:t>
      </w:r>
      <w:proofErr w:type="spellStart"/>
      <w:r w:rsidRPr="00EB5379">
        <w:rPr>
          <w:rFonts w:ascii="Arial" w:hAnsi="Arial" w:cs="Arial"/>
        </w:rPr>
        <w:t>authorisation</w:t>
      </w:r>
      <w:proofErr w:type="spellEnd"/>
      <w:r w:rsidRPr="00EB5379">
        <w:rPr>
          <w:rFonts w:ascii="Arial" w:hAnsi="Arial" w:cs="Arial"/>
        </w:rPr>
        <w:t xml:space="preserve"> holder (Inhaber der Genehmigung für das Inverkehrbringen)</w:t>
      </w:r>
    </w:p>
    <w:p w14:paraId="1AB3A45E" w14:textId="77777777" w:rsidR="00372FD3" w:rsidRPr="00153768" w:rsidRDefault="00372FD3" w:rsidP="00372FD3">
      <w:pPr>
        <w:tabs>
          <w:tab w:val="left" w:pos="993"/>
        </w:tabs>
        <w:ind w:left="993" w:right="-851" w:hanging="993"/>
        <w:rPr>
          <w:rFonts w:ascii="Arial" w:hAnsi="Arial" w:cs="Arial"/>
        </w:rPr>
      </w:pPr>
      <w:r w:rsidRPr="00EB5379">
        <w:rPr>
          <w:rFonts w:ascii="Arial" w:hAnsi="Arial" w:cs="Arial"/>
        </w:rPr>
        <w:t>NUI</w:t>
      </w:r>
      <w:r w:rsidRPr="00EB5379">
        <w:rPr>
          <w:rFonts w:ascii="Arial" w:hAnsi="Arial" w:cs="Arial"/>
        </w:rPr>
        <w:tab/>
        <w:t xml:space="preserve">Non Urgent </w:t>
      </w:r>
      <w:r w:rsidRPr="00153768">
        <w:rPr>
          <w:rFonts w:ascii="Arial" w:hAnsi="Arial" w:cs="Arial"/>
        </w:rPr>
        <w:t>Information</w:t>
      </w:r>
    </w:p>
    <w:p w14:paraId="78B56CFB" w14:textId="5669B7A3" w:rsidR="00372FD3" w:rsidRPr="00153768" w:rsidRDefault="00372FD3" w:rsidP="00372FD3">
      <w:pPr>
        <w:tabs>
          <w:tab w:val="left" w:pos="993"/>
        </w:tabs>
        <w:ind w:left="993" w:right="-851" w:hanging="993"/>
        <w:rPr>
          <w:rFonts w:ascii="Arial" w:hAnsi="Arial" w:cs="Arial"/>
        </w:rPr>
      </w:pPr>
      <w:r w:rsidRPr="00153768">
        <w:rPr>
          <w:rFonts w:ascii="Arial" w:hAnsi="Arial" w:cs="Arial"/>
        </w:rPr>
        <w:t>PEI</w:t>
      </w:r>
      <w:r w:rsidRPr="00153768">
        <w:rPr>
          <w:rFonts w:ascii="Arial" w:hAnsi="Arial" w:cs="Arial"/>
        </w:rPr>
        <w:tab/>
        <w:t>Paul-Ehrlich-Institut; BOB im Geschäftsbereich des BMG</w:t>
      </w:r>
    </w:p>
    <w:p w14:paraId="30B6BD09" w14:textId="09A4F969" w:rsidR="00A33B34" w:rsidRPr="00153768" w:rsidRDefault="00A33B34" w:rsidP="00372FD3">
      <w:pPr>
        <w:tabs>
          <w:tab w:val="left" w:pos="993"/>
        </w:tabs>
        <w:ind w:left="993" w:right="-851" w:hanging="993"/>
        <w:rPr>
          <w:rFonts w:ascii="Arial" w:hAnsi="Arial" w:cs="Arial"/>
        </w:rPr>
      </w:pPr>
      <w:proofErr w:type="spellStart"/>
      <w:r w:rsidRPr="00153768">
        <w:rPr>
          <w:rFonts w:ascii="Arial" w:hAnsi="Arial" w:cs="Arial"/>
        </w:rPr>
        <w:t>pU</w:t>
      </w:r>
      <w:proofErr w:type="spellEnd"/>
      <w:r w:rsidRPr="00153768">
        <w:rPr>
          <w:rFonts w:ascii="Arial" w:hAnsi="Arial" w:cs="Arial"/>
        </w:rPr>
        <w:tab/>
        <w:t>pharmazeutischer Unternehmer</w:t>
      </w:r>
    </w:p>
    <w:p w14:paraId="6322DA49" w14:textId="77777777" w:rsidR="00372FD3" w:rsidRPr="00153768" w:rsidRDefault="00372FD3" w:rsidP="00372FD3">
      <w:pPr>
        <w:tabs>
          <w:tab w:val="left" w:pos="993"/>
        </w:tabs>
        <w:ind w:left="993" w:right="-851" w:hanging="993"/>
        <w:rPr>
          <w:rFonts w:ascii="Arial" w:hAnsi="Arial" w:cs="Arial"/>
        </w:rPr>
      </w:pPr>
      <w:r w:rsidRPr="00153768">
        <w:rPr>
          <w:rFonts w:ascii="Arial" w:hAnsi="Arial" w:cs="Arial"/>
        </w:rPr>
        <w:t>PZ</w:t>
      </w:r>
      <w:r w:rsidRPr="00153768">
        <w:rPr>
          <w:rFonts w:ascii="Arial" w:hAnsi="Arial" w:cs="Arial"/>
        </w:rPr>
        <w:tab/>
        <w:t>Pharmazeutische Zeitung</w:t>
      </w:r>
    </w:p>
    <w:p w14:paraId="4B1CFB29" w14:textId="13F3BF1C" w:rsidR="00372FD3" w:rsidRPr="00153768" w:rsidRDefault="00372FD3" w:rsidP="00372FD3">
      <w:pPr>
        <w:tabs>
          <w:tab w:val="left" w:pos="993"/>
        </w:tabs>
        <w:ind w:left="993" w:right="-851" w:hanging="993"/>
        <w:rPr>
          <w:rFonts w:ascii="Arial" w:hAnsi="Arial" w:cs="Arial"/>
          <w:lang w:val="en-US"/>
        </w:rPr>
      </w:pPr>
      <w:r w:rsidRPr="00153768">
        <w:rPr>
          <w:rFonts w:ascii="Arial" w:hAnsi="Arial" w:cs="Arial"/>
          <w:lang w:val="en-US"/>
        </w:rPr>
        <w:t>Q</w:t>
      </w:r>
      <w:r w:rsidR="00B1395E" w:rsidRPr="00153768">
        <w:rPr>
          <w:rFonts w:ascii="Arial" w:hAnsi="Arial" w:cs="Arial"/>
          <w:lang w:val="en-US"/>
        </w:rPr>
        <w:t>D</w:t>
      </w:r>
      <w:r w:rsidRPr="00153768">
        <w:rPr>
          <w:rFonts w:ascii="Arial" w:hAnsi="Arial" w:cs="Arial"/>
          <w:lang w:val="en-US"/>
        </w:rPr>
        <w:tab/>
      </w:r>
      <w:proofErr w:type="spellStart"/>
      <w:r w:rsidR="00B1395E" w:rsidRPr="00153768">
        <w:rPr>
          <w:rFonts w:ascii="Arial" w:hAnsi="Arial" w:cs="Arial"/>
          <w:lang w:val="en-US"/>
        </w:rPr>
        <w:t>Qualitäts</w:t>
      </w:r>
      <w:r w:rsidR="00645E95" w:rsidRPr="00153768">
        <w:rPr>
          <w:rFonts w:ascii="Arial" w:hAnsi="Arial" w:cs="Arial"/>
          <w:lang w:val="en-US"/>
        </w:rPr>
        <w:t>mangel</w:t>
      </w:r>
      <w:proofErr w:type="spellEnd"/>
      <w:r w:rsidR="00645E95" w:rsidRPr="00153768">
        <w:rPr>
          <w:rFonts w:ascii="Arial" w:hAnsi="Arial" w:cs="Arial"/>
          <w:lang w:val="en-US"/>
        </w:rPr>
        <w:t xml:space="preserve"> (</w:t>
      </w:r>
      <w:proofErr w:type="spellStart"/>
      <w:r w:rsidR="00645E95" w:rsidRPr="00153768">
        <w:rPr>
          <w:rFonts w:ascii="Arial" w:hAnsi="Arial" w:cs="Arial"/>
          <w:lang w:val="en-US"/>
        </w:rPr>
        <w:t>engl.</w:t>
      </w:r>
      <w:proofErr w:type="spellEnd"/>
      <w:r w:rsidR="00645E95" w:rsidRPr="00153768">
        <w:rPr>
          <w:rFonts w:ascii="Arial" w:hAnsi="Arial" w:cs="Arial"/>
          <w:lang w:val="en-US"/>
        </w:rPr>
        <w:t xml:space="preserve"> quality defect, </w:t>
      </w:r>
      <w:proofErr w:type="spellStart"/>
      <w:r w:rsidR="00645E95" w:rsidRPr="00153768">
        <w:rPr>
          <w:rFonts w:ascii="Arial" w:hAnsi="Arial" w:cs="Arial"/>
          <w:lang w:val="en-US"/>
        </w:rPr>
        <w:t>qdefect</w:t>
      </w:r>
      <w:proofErr w:type="spellEnd"/>
      <w:r w:rsidR="00645E95" w:rsidRPr="00153768">
        <w:rPr>
          <w:rFonts w:ascii="Arial" w:hAnsi="Arial" w:cs="Arial"/>
          <w:lang w:val="en-US"/>
        </w:rPr>
        <w:t>)</w:t>
      </w:r>
    </w:p>
    <w:p w14:paraId="31DC292A" w14:textId="77777777" w:rsidR="00372FD3" w:rsidRPr="00153768" w:rsidRDefault="00372FD3" w:rsidP="00372FD3">
      <w:pPr>
        <w:tabs>
          <w:tab w:val="left" w:pos="993"/>
        </w:tabs>
        <w:ind w:left="993" w:right="-851" w:hanging="993"/>
        <w:rPr>
          <w:rFonts w:ascii="Arial" w:hAnsi="Arial" w:cs="Arial"/>
          <w:lang w:val="en-US"/>
        </w:rPr>
      </w:pPr>
      <w:r w:rsidRPr="00153768">
        <w:rPr>
          <w:rFonts w:ascii="Arial" w:hAnsi="Arial" w:cs="Arial"/>
          <w:lang w:val="en-US"/>
        </w:rPr>
        <w:t>RA</w:t>
      </w:r>
      <w:r w:rsidRPr="00153768">
        <w:rPr>
          <w:rFonts w:ascii="Arial" w:hAnsi="Arial" w:cs="Arial"/>
          <w:lang w:val="en-US"/>
        </w:rPr>
        <w:tab/>
        <w:t>Rapid Alert</w:t>
      </w:r>
    </w:p>
    <w:p w14:paraId="6623FEDB" w14:textId="77777777" w:rsidR="00372FD3" w:rsidRPr="00153768" w:rsidRDefault="00372FD3" w:rsidP="00372FD3">
      <w:pPr>
        <w:tabs>
          <w:tab w:val="left" w:pos="993"/>
        </w:tabs>
        <w:ind w:left="993" w:right="-851" w:hanging="993"/>
        <w:rPr>
          <w:rFonts w:ascii="Arial" w:hAnsi="Arial" w:cs="Arial"/>
          <w:lang w:val="en-US"/>
        </w:rPr>
      </w:pPr>
      <w:r w:rsidRPr="00153768">
        <w:rPr>
          <w:rFonts w:ascii="Arial" w:hAnsi="Arial" w:cs="Arial"/>
          <w:lang w:val="en-US"/>
        </w:rPr>
        <w:t>RAN</w:t>
      </w:r>
      <w:r w:rsidRPr="00153768">
        <w:rPr>
          <w:rFonts w:ascii="Arial" w:hAnsi="Arial" w:cs="Arial"/>
          <w:lang w:val="en-US"/>
        </w:rPr>
        <w:tab/>
        <w:t>Rapid Alert Notification</w:t>
      </w:r>
    </w:p>
    <w:p w14:paraId="0DF50628" w14:textId="77777777" w:rsidR="00372FD3" w:rsidRPr="00153768" w:rsidRDefault="00372FD3" w:rsidP="00372FD3">
      <w:pPr>
        <w:tabs>
          <w:tab w:val="left" w:pos="993"/>
        </w:tabs>
        <w:ind w:left="993" w:right="-851" w:hanging="993"/>
        <w:rPr>
          <w:rFonts w:ascii="Arial" w:hAnsi="Arial" w:cs="Arial"/>
          <w:lang w:val="en-US"/>
        </w:rPr>
      </w:pPr>
      <w:r w:rsidRPr="00153768">
        <w:rPr>
          <w:rFonts w:ascii="Arial" w:hAnsi="Arial" w:cs="Arial"/>
          <w:lang w:val="en-US"/>
        </w:rPr>
        <w:t>RAS</w:t>
      </w:r>
      <w:r w:rsidRPr="00153768">
        <w:rPr>
          <w:rFonts w:ascii="Arial" w:hAnsi="Arial" w:cs="Arial"/>
          <w:lang w:val="en-US"/>
        </w:rPr>
        <w:tab/>
        <w:t>Rapid Alert System</w:t>
      </w:r>
    </w:p>
    <w:p w14:paraId="0BF9E3E8" w14:textId="77777777" w:rsidR="00372FD3" w:rsidRPr="00153768" w:rsidRDefault="00372FD3" w:rsidP="00372FD3">
      <w:pPr>
        <w:tabs>
          <w:tab w:val="left" w:pos="993"/>
        </w:tabs>
        <w:ind w:left="993" w:right="-851" w:hanging="993"/>
        <w:rPr>
          <w:rFonts w:ascii="Arial" w:hAnsi="Arial" w:cs="Arial"/>
          <w:lang w:val="en-US"/>
        </w:rPr>
      </w:pPr>
      <w:proofErr w:type="spellStart"/>
      <w:r w:rsidRPr="00153768">
        <w:rPr>
          <w:rFonts w:ascii="Arial" w:hAnsi="Arial" w:cs="Arial"/>
          <w:lang w:val="en-US"/>
        </w:rPr>
        <w:t>RoW</w:t>
      </w:r>
      <w:proofErr w:type="spellEnd"/>
      <w:r w:rsidRPr="00153768">
        <w:rPr>
          <w:rFonts w:ascii="Arial" w:hAnsi="Arial" w:cs="Arial"/>
          <w:lang w:val="en-US"/>
        </w:rPr>
        <w:tab/>
        <w:t>Rest of the World</w:t>
      </w:r>
    </w:p>
    <w:p w14:paraId="0CA8F7AD" w14:textId="77777777" w:rsidR="00372FD3" w:rsidRPr="00153768" w:rsidRDefault="00372FD3" w:rsidP="00372FD3">
      <w:pPr>
        <w:tabs>
          <w:tab w:val="left" w:pos="993"/>
        </w:tabs>
        <w:ind w:left="993" w:right="-851" w:hanging="993"/>
        <w:rPr>
          <w:rFonts w:ascii="Arial" w:hAnsi="Arial" w:cs="Arial"/>
        </w:rPr>
      </w:pPr>
      <w:r w:rsidRPr="00153768">
        <w:rPr>
          <w:rFonts w:ascii="Arial" w:hAnsi="Arial" w:cs="Arial"/>
        </w:rPr>
        <w:t>SPOC</w:t>
      </w:r>
      <w:r w:rsidRPr="00153768">
        <w:rPr>
          <w:rFonts w:ascii="Arial" w:hAnsi="Arial" w:cs="Arial"/>
        </w:rPr>
        <w:tab/>
        <w:t xml:space="preserve">Single Point </w:t>
      </w:r>
      <w:proofErr w:type="spellStart"/>
      <w:r w:rsidRPr="00153768">
        <w:rPr>
          <w:rFonts w:ascii="Arial" w:hAnsi="Arial" w:cs="Arial"/>
        </w:rPr>
        <w:t>Of</w:t>
      </w:r>
      <w:proofErr w:type="spellEnd"/>
      <w:r w:rsidRPr="00153768">
        <w:rPr>
          <w:rFonts w:ascii="Arial" w:hAnsi="Arial" w:cs="Arial"/>
        </w:rPr>
        <w:t xml:space="preserve"> </w:t>
      </w:r>
      <w:proofErr w:type="spellStart"/>
      <w:r w:rsidRPr="00153768">
        <w:rPr>
          <w:rFonts w:ascii="Arial" w:hAnsi="Arial" w:cs="Arial"/>
        </w:rPr>
        <w:t>Contact</w:t>
      </w:r>
      <w:proofErr w:type="spellEnd"/>
    </w:p>
    <w:p w14:paraId="49326AC2" w14:textId="77777777" w:rsidR="00372FD3" w:rsidRPr="00153768" w:rsidRDefault="00372FD3" w:rsidP="00372FD3">
      <w:pPr>
        <w:tabs>
          <w:tab w:val="left" w:pos="993"/>
        </w:tabs>
        <w:ind w:left="993" w:right="-851" w:hanging="993"/>
        <w:rPr>
          <w:rFonts w:ascii="Arial" w:hAnsi="Arial" w:cs="Arial"/>
        </w:rPr>
      </w:pPr>
      <w:proofErr w:type="spellStart"/>
      <w:r w:rsidRPr="00153768">
        <w:rPr>
          <w:rFonts w:ascii="Arial" w:hAnsi="Arial" w:cs="Arial"/>
        </w:rPr>
        <w:t>StA</w:t>
      </w:r>
      <w:proofErr w:type="spellEnd"/>
      <w:r w:rsidRPr="00153768">
        <w:rPr>
          <w:rFonts w:ascii="Arial" w:hAnsi="Arial" w:cs="Arial"/>
        </w:rPr>
        <w:tab/>
        <w:t>Staatsanwaltschaft</w:t>
      </w:r>
    </w:p>
    <w:p w14:paraId="2E36762F" w14:textId="77777777" w:rsidR="00372FD3" w:rsidRPr="00153768" w:rsidRDefault="00372FD3" w:rsidP="00372FD3">
      <w:pPr>
        <w:tabs>
          <w:tab w:val="left" w:pos="993"/>
        </w:tabs>
        <w:ind w:left="993" w:right="-851" w:hanging="993"/>
        <w:rPr>
          <w:rFonts w:ascii="Arial" w:hAnsi="Arial" w:cs="Arial"/>
        </w:rPr>
      </w:pPr>
      <w:r w:rsidRPr="00153768">
        <w:rPr>
          <w:rFonts w:ascii="Arial" w:hAnsi="Arial" w:cs="Arial"/>
        </w:rPr>
        <w:t>UAW</w:t>
      </w:r>
      <w:r w:rsidRPr="00153768">
        <w:rPr>
          <w:rFonts w:ascii="Arial" w:hAnsi="Arial" w:cs="Arial"/>
        </w:rPr>
        <w:tab/>
        <w:t>Unerwünschte Arzneimittelwirkung</w:t>
      </w:r>
    </w:p>
    <w:p w14:paraId="7A60BD84" w14:textId="77777777" w:rsidR="00372FD3" w:rsidRPr="00153768" w:rsidRDefault="00372FD3" w:rsidP="00372FD3">
      <w:pPr>
        <w:tabs>
          <w:tab w:val="left" w:pos="993"/>
        </w:tabs>
        <w:ind w:left="993" w:right="-851" w:hanging="993"/>
        <w:rPr>
          <w:rFonts w:ascii="Arial" w:hAnsi="Arial" w:cs="Arial"/>
        </w:rPr>
      </w:pPr>
      <w:r w:rsidRPr="00153768">
        <w:rPr>
          <w:rFonts w:ascii="Arial" w:hAnsi="Arial" w:cs="Arial"/>
        </w:rPr>
        <w:t>VAW</w:t>
      </w:r>
      <w:r w:rsidRPr="00153768">
        <w:rPr>
          <w:rFonts w:ascii="Arial" w:hAnsi="Arial" w:cs="Arial"/>
        </w:rPr>
        <w:tab/>
        <w:t>Verfahrensanweisung</w:t>
      </w:r>
    </w:p>
    <w:p w14:paraId="6C5365FD" w14:textId="741548EB" w:rsidR="00372FD3" w:rsidRPr="00EB5379" w:rsidRDefault="00372FD3" w:rsidP="00372FD3">
      <w:pPr>
        <w:tabs>
          <w:tab w:val="left" w:pos="993"/>
        </w:tabs>
        <w:rPr>
          <w:rFonts w:ascii="Arial" w:hAnsi="Arial" w:cs="Arial"/>
          <w:u w:val="single"/>
        </w:rPr>
      </w:pPr>
      <w:r w:rsidRPr="00153768">
        <w:rPr>
          <w:rFonts w:ascii="Arial" w:hAnsi="Arial" w:cs="Arial"/>
        </w:rPr>
        <w:t>ZLG</w:t>
      </w:r>
      <w:r w:rsidRPr="00153768">
        <w:rPr>
          <w:rFonts w:ascii="Arial" w:hAnsi="Arial" w:cs="Arial"/>
        </w:rPr>
        <w:tab/>
        <w:t>Zentralstelle der Länder für Gesundheitsschutz be</w:t>
      </w:r>
      <w:r w:rsidR="00F02015" w:rsidRPr="00153768">
        <w:rPr>
          <w:rFonts w:ascii="Arial" w:hAnsi="Arial" w:cs="Arial"/>
        </w:rPr>
        <w:t>i Arzneimitteln und Medizinpro-</w:t>
      </w:r>
      <w:r w:rsidR="00F02015" w:rsidRPr="00153768">
        <w:rPr>
          <w:rFonts w:ascii="Arial" w:hAnsi="Arial" w:cs="Arial"/>
        </w:rPr>
        <w:tab/>
      </w:r>
      <w:proofErr w:type="spellStart"/>
      <w:r w:rsidRPr="00153768">
        <w:rPr>
          <w:rFonts w:ascii="Arial" w:hAnsi="Arial" w:cs="Arial"/>
        </w:rPr>
        <w:t>dukten</w:t>
      </w:r>
      <w:proofErr w:type="spellEnd"/>
      <w:r w:rsidRPr="00EB5379">
        <w:rPr>
          <w:rFonts w:ascii="Arial" w:hAnsi="Arial" w:cs="Arial"/>
          <w:u w:val="single"/>
        </w:rPr>
        <w:br w:type="page"/>
      </w:r>
    </w:p>
    <w:tbl>
      <w:tblPr>
        <w:tblStyle w:val="Tabellenraster"/>
        <w:tblW w:w="9072" w:type="dxa"/>
        <w:jc w:val="center"/>
        <w:tblLayout w:type="fixed"/>
        <w:tblCellMar>
          <w:top w:w="57" w:type="dxa"/>
          <w:left w:w="57" w:type="dxa"/>
          <w:bottom w:w="57" w:type="dxa"/>
          <w:right w:w="57" w:type="dxa"/>
        </w:tblCellMar>
        <w:tblLook w:val="04A0" w:firstRow="1" w:lastRow="0" w:firstColumn="1" w:lastColumn="0" w:noHBand="0" w:noVBand="1"/>
      </w:tblPr>
      <w:tblGrid>
        <w:gridCol w:w="550"/>
        <w:gridCol w:w="1637"/>
        <w:gridCol w:w="6885"/>
      </w:tblGrid>
      <w:tr w:rsidR="00372FD3" w:rsidRPr="00EB5379" w14:paraId="353C78AC" w14:textId="77777777" w:rsidTr="000A2655">
        <w:trPr>
          <w:tblHeader/>
          <w:jc w:val="center"/>
        </w:trPr>
        <w:tc>
          <w:tcPr>
            <w:tcW w:w="550" w:type="dxa"/>
            <w:shd w:val="clear" w:color="auto" w:fill="D9D9D9" w:themeFill="background1" w:themeFillShade="D9"/>
          </w:tcPr>
          <w:p w14:paraId="567C909F" w14:textId="77777777" w:rsidR="00372FD3" w:rsidRPr="00EB5379" w:rsidRDefault="00372FD3" w:rsidP="000A2655">
            <w:pPr>
              <w:widowControl w:val="0"/>
              <w:spacing w:before="100" w:after="100"/>
              <w:rPr>
                <w:rFonts w:ascii="Arial" w:hAnsi="Arial" w:cs="Arial"/>
                <w:b/>
                <w:sz w:val="20"/>
                <w:szCs w:val="20"/>
              </w:rPr>
            </w:pPr>
            <w:r w:rsidRPr="00EB5379">
              <w:rPr>
                <w:rFonts w:ascii="Arial" w:hAnsi="Arial" w:cs="Arial"/>
                <w:b/>
                <w:sz w:val="20"/>
                <w:szCs w:val="20"/>
              </w:rPr>
              <w:lastRenderedPageBreak/>
              <w:t>Nr.</w:t>
            </w:r>
          </w:p>
        </w:tc>
        <w:tc>
          <w:tcPr>
            <w:tcW w:w="1637" w:type="dxa"/>
            <w:shd w:val="clear" w:color="auto" w:fill="D9D9D9" w:themeFill="background1" w:themeFillShade="D9"/>
          </w:tcPr>
          <w:p w14:paraId="03C50B64" w14:textId="77777777" w:rsidR="00372FD3" w:rsidRPr="00EB5379" w:rsidRDefault="00372FD3" w:rsidP="000A2655">
            <w:pPr>
              <w:widowControl w:val="0"/>
              <w:spacing w:before="100" w:after="100"/>
              <w:rPr>
                <w:rFonts w:ascii="Arial" w:hAnsi="Arial" w:cs="Arial"/>
                <w:b/>
                <w:sz w:val="20"/>
                <w:szCs w:val="20"/>
              </w:rPr>
            </w:pPr>
            <w:r w:rsidRPr="00EB5379">
              <w:rPr>
                <w:rFonts w:ascii="Arial" w:hAnsi="Arial" w:cs="Arial"/>
                <w:b/>
                <w:sz w:val="20"/>
                <w:szCs w:val="20"/>
              </w:rPr>
              <w:t>Beschriftung</w:t>
            </w:r>
          </w:p>
        </w:tc>
        <w:tc>
          <w:tcPr>
            <w:tcW w:w="6885" w:type="dxa"/>
            <w:shd w:val="clear" w:color="auto" w:fill="D9D9D9" w:themeFill="background1" w:themeFillShade="D9"/>
          </w:tcPr>
          <w:p w14:paraId="3952B6D2" w14:textId="77777777" w:rsidR="00372FD3" w:rsidRPr="00EB5379" w:rsidRDefault="00372FD3" w:rsidP="000A2655">
            <w:pPr>
              <w:widowControl w:val="0"/>
              <w:spacing w:before="100" w:after="100"/>
              <w:rPr>
                <w:rFonts w:ascii="Arial" w:hAnsi="Arial" w:cs="Arial"/>
                <w:b/>
                <w:sz w:val="20"/>
                <w:szCs w:val="20"/>
              </w:rPr>
            </w:pPr>
            <w:r w:rsidRPr="00EB5379">
              <w:rPr>
                <w:rFonts w:ascii="Arial" w:hAnsi="Arial" w:cs="Arial"/>
                <w:b/>
                <w:sz w:val="20"/>
                <w:szCs w:val="20"/>
              </w:rPr>
              <w:t>Erläuterung</w:t>
            </w:r>
          </w:p>
        </w:tc>
      </w:tr>
      <w:tr w:rsidR="00372FD3" w:rsidRPr="00EB5379" w14:paraId="5983AD47" w14:textId="77777777" w:rsidTr="00AD5A6D">
        <w:trPr>
          <w:jc w:val="center"/>
        </w:trPr>
        <w:tc>
          <w:tcPr>
            <w:tcW w:w="550" w:type="dxa"/>
            <w:shd w:val="clear" w:color="auto" w:fill="D9D9D9" w:themeFill="background1" w:themeFillShade="D9"/>
          </w:tcPr>
          <w:p w14:paraId="6BEE24EA"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1</w:t>
            </w:r>
          </w:p>
        </w:tc>
        <w:tc>
          <w:tcPr>
            <w:tcW w:w="1637" w:type="dxa"/>
            <w:shd w:val="clear" w:color="auto" w:fill="D9D9D9" w:themeFill="background1" w:themeFillShade="D9"/>
          </w:tcPr>
          <w:p w14:paraId="2A0B1B52"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Eingang Mitteilung</w:t>
            </w:r>
            <w:r w:rsidRPr="00EB5379">
              <w:rPr>
                <w:rFonts w:ascii="Arial" w:hAnsi="Arial" w:cs="Arial"/>
                <w:sz w:val="20"/>
                <w:szCs w:val="20"/>
              </w:rPr>
              <w:br/>
              <w:t>(Erstmeldung)</w:t>
            </w:r>
          </w:p>
        </w:tc>
        <w:tc>
          <w:tcPr>
            <w:tcW w:w="6885" w:type="dxa"/>
            <w:shd w:val="clear" w:color="auto" w:fill="D9D9D9" w:themeFill="background1" w:themeFillShade="D9"/>
          </w:tcPr>
          <w:p w14:paraId="0723EB70"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Erstinvolvierte Behörde kann mit zuständiger Behörde identisch sein</w:t>
            </w:r>
          </w:p>
          <w:p w14:paraId="080BE894"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Sofern erstinvolvierte Behörde ≠ LB oder BOB: Weiterleitung an BOBs</w:t>
            </w:r>
          </w:p>
          <w:p w14:paraId="4BE634C8"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RAN aus dem Ausland →</w:t>
            </w:r>
            <w:r w:rsidRPr="00EB5379">
              <w:rPr>
                <w:rFonts w:ascii="Arial" w:hAnsi="Arial" w:cs="Arial"/>
                <w:b/>
                <w:sz w:val="20"/>
                <w:szCs w:val="20"/>
              </w:rPr>
              <w:t xml:space="preserve"> Nr. 12a</w:t>
            </w:r>
          </w:p>
        </w:tc>
      </w:tr>
      <w:tr w:rsidR="00372FD3" w:rsidRPr="00EB5379" w14:paraId="7B61EAFE" w14:textId="77777777" w:rsidTr="00AD5A6D">
        <w:trPr>
          <w:jc w:val="center"/>
        </w:trPr>
        <w:tc>
          <w:tcPr>
            <w:tcW w:w="550" w:type="dxa"/>
            <w:shd w:val="clear" w:color="auto" w:fill="D9D9D9" w:themeFill="background1" w:themeFillShade="D9"/>
          </w:tcPr>
          <w:p w14:paraId="2B9B67B8"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2</w:t>
            </w:r>
          </w:p>
        </w:tc>
        <w:tc>
          <w:tcPr>
            <w:tcW w:w="1637" w:type="dxa"/>
            <w:shd w:val="clear" w:color="auto" w:fill="D9D9D9" w:themeFill="background1" w:themeFillShade="D9"/>
          </w:tcPr>
          <w:p w14:paraId="03E6B90B"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Fälschung?</w:t>
            </w:r>
          </w:p>
        </w:tc>
        <w:tc>
          <w:tcPr>
            <w:tcW w:w="6885" w:type="dxa"/>
            <w:shd w:val="clear" w:color="auto" w:fill="D9D9D9" w:themeFill="background1" w:themeFillShade="D9"/>
          </w:tcPr>
          <w:p w14:paraId="45557B24"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Abklärung Arzneimittelfälschung durch erstinvolvierte Behörde anhand der gegebenen Datenlage</w:t>
            </w:r>
          </w:p>
        </w:tc>
      </w:tr>
      <w:tr w:rsidR="00372FD3" w:rsidRPr="00EB5379" w14:paraId="4C76544E" w14:textId="77777777" w:rsidTr="00AD5A6D">
        <w:trPr>
          <w:jc w:val="center"/>
        </w:trPr>
        <w:tc>
          <w:tcPr>
            <w:tcW w:w="550" w:type="dxa"/>
            <w:shd w:val="clear" w:color="auto" w:fill="D9D9D9" w:themeFill="background1" w:themeFillShade="D9"/>
          </w:tcPr>
          <w:p w14:paraId="76810715"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3</w:t>
            </w:r>
          </w:p>
        </w:tc>
        <w:tc>
          <w:tcPr>
            <w:tcW w:w="1637" w:type="dxa"/>
            <w:shd w:val="clear" w:color="auto" w:fill="D9D9D9" w:themeFill="background1" w:themeFillShade="D9"/>
          </w:tcPr>
          <w:p w14:paraId="4EF9B7B9" w14:textId="77777777" w:rsidR="00372FD3" w:rsidRPr="00EB5379" w:rsidRDefault="00372FD3" w:rsidP="000A2655">
            <w:pPr>
              <w:widowControl w:val="0"/>
              <w:rPr>
                <w:rFonts w:ascii="Arial" w:hAnsi="Arial" w:cs="Arial"/>
                <w:sz w:val="20"/>
                <w:szCs w:val="20"/>
              </w:rPr>
            </w:pPr>
            <w:r w:rsidRPr="00EB5379">
              <w:rPr>
                <w:rFonts w:ascii="Arial" w:hAnsi="Arial" w:cs="Arial"/>
                <w:b/>
                <w:sz w:val="20"/>
                <w:szCs w:val="20"/>
              </w:rPr>
              <w:t xml:space="preserve">→ </w:t>
            </w:r>
            <w:r w:rsidRPr="00EB5379">
              <w:rPr>
                <w:rFonts w:ascii="Arial" w:hAnsi="Arial" w:cs="Arial"/>
                <w:sz w:val="20"/>
                <w:szCs w:val="20"/>
              </w:rPr>
              <w:t>Schema Arzneimittelfälschung</w:t>
            </w:r>
          </w:p>
        </w:tc>
        <w:tc>
          <w:tcPr>
            <w:tcW w:w="6885" w:type="dxa"/>
            <w:shd w:val="clear" w:color="auto" w:fill="D9D9D9" w:themeFill="background1" w:themeFillShade="D9"/>
          </w:tcPr>
          <w:p w14:paraId="68A992EC" w14:textId="465C8585" w:rsidR="00372FD3" w:rsidRPr="00EB5379" w:rsidRDefault="00372FD3" w:rsidP="0026711C">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Im Falle einer bestätigten Fälschung, eines begründeten Fälschungsverdachtes oder eines Hinweises auf eine Fälschung → Prozess gem. Ablaufschema bzgl. des Umgangs mit Arzneimittelfälschung</w:t>
            </w:r>
            <w:r w:rsidR="0026711C" w:rsidRPr="00EB5379">
              <w:rPr>
                <w:rFonts w:ascii="Arial" w:hAnsi="Arial" w:cs="Arial"/>
                <w:sz w:val="20"/>
                <w:szCs w:val="20"/>
              </w:rPr>
              <w:t xml:space="preserve"> (VAW 121110)</w:t>
            </w:r>
          </w:p>
        </w:tc>
      </w:tr>
      <w:tr w:rsidR="00372FD3" w:rsidRPr="00EB5379" w14:paraId="060C5E99" w14:textId="77777777" w:rsidTr="00AD5A6D">
        <w:trPr>
          <w:jc w:val="center"/>
        </w:trPr>
        <w:tc>
          <w:tcPr>
            <w:tcW w:w="550" w:type="dxa"/>
            <w:shd w:val="clear" w:color="auto" w:fill="D9D9D9" w:themeFill="background1" w:themeFillShade="D9"/>
          </w:tcPr>
          <w:p w14:paraId="728D15BD"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4a</w:t>
            </w:r>
          </w:p>
        </w:tc>
        <w:tc>
          <w:tcPr>
            <w:tcW w:w="1637" w:type="dxa"/>
            <w:shd w:val="clear" w:color="auto" w:fill="D9D9D9" w:themeFill="background1" w:themeFillShade="D9"/>
          </w:tcPr>
          <w:p w14:paraId="2987F8F6"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UAW?</w:t>
            </w:r>
          </w:p>
        </w:tc>
        <w:tc>
          <w:tcPr>
            <w:tcW w:w="6885" w:type="dxa"/>
            <w:shd w:val="clear" w:color="auto" w:fill="D9D9D9" w:themeFill="background1" w:themeFillShade="D9"/>
          </w:tcPr>
          <w:p w14:paraId="6066AE3C" w14:textId="77777777" w:rsidR="00372FD3" w:rsidRPr="00153768"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 xml:space="preserve">Im Fall von UAW Abgabe von erstinvolvierter Behörde an zuständige BOB (entfällt, wenn erstinvolvierte </w:t>
            </w:r>
            <w:r w:rsidRPr="00153768">
              <w:rPr>
                <w:rFonts w:ascii="Arial" w:hAnsi="Arial" w:cs="Arial"/>
                <w:sz w:val="20"/>
                <w:szCs w:val="20"/>
              </w:rPr>
              <w:t xml:space="preserve">Behörde = BOB) → </w:t>
            </w:r>
            <w:r w:rsidRPr="00153768">
              <w:rPr>
                <w:rFonts w:ascii="Arial" w:hAnsi="Arial" w:cs="Arial"/>
                <w:b/>
                <w:sz w:val="20"/>
                <w:szCs w:val="20"/>
              </w:rPr>
              <w:t>Nr. 4b</w:t>
            </w:r>
          </w:p>
          <w:p w14:paraId="5E372ED4" w14:textId="6C21A6C4" w:rsidR="00372FD3" w:rsidRPr="00EB5379" w:rsidRDefault="00372FD3" w:rsidP="00B1395E">
            <w:pPr>
              <w:pStyle w:val="Listenabsatz"/>
              <w:widowControl w:val="0"/>
              <w:numPr>
                <w:ilvl w:val="0"/>
                <w:numId w:val="13"/>
              </w:numPr>
              <w:spacing w:before="60"/>
              <w:ind w:left="170" w:hanging="170"/>
              <w:contextualSpacing w:val="0"/>
              <w:rPr>
                <w:rFonts w:ascii="Arial" w:hAnsi="Arial" w:cs="Arial"/>
                <w:sz w:val="20"/>
                <w:szCs w:val="20"/>
              </w:rPr>
            </w:pPr>
            <w:r w:rsidRPr="00153768">
              <w:rPr>
                <w:rFonts w:ascii="Arial" w:hAnsi="Arial" w:cs="Arial"/>
                <w:sz w:val="20"/>
                <w:szCs w:val="20"/>
              </w:rPr>
              <w:t>Im Fall eines Hinweises auf einen Q</w:t>
            </w:r>
            <w:r w:rsidR="00B1395E" w:rsidRPr="00153768">
              <w:rPr>
                <w:rFonts w:ascii="Arial" w:hAnsi="Arial" w:cs="Arial"/>
                <w:sz w:val="20"/>
                <w:szCs w:val="20"/>
              </w:rPr>
              <w:t>D</w:t>
            </w:r>
            <w:r w:rsidRPr="00153768">
              <w:rPr>
                <w:rFonts w:ascii="Arial" w:hAnsi="Arial" w:cs="Arial"/>
                <w:sz w:val="20"/>
                <w:szCs w:val="20"/>
              </w:rPr>
              <w:t xml:space="preserve"> (= keine UAW) weitere Prüfung durch erstinvolvierte Behörde (auch BOB) → </w:t>
            </w:r>
            <w:r w:rsidRPr="00153768">
              <w:rPr>
                <w:rFonts w:ascii="Arial" w:hAnsi="Arial" w:cs="Arial"/>
                <w:b/>
                <w:sz w:val="20"/>
                <w:szCs w:val="20"/>
              </w:rPr>
              <w:t>Nr</w:t>
            </w:r>
            <w:r w:rsidRPr="00EB5379">
              <w:rPr>
                <w:rFonts w:ascii="Arial" w:hAnsi="Arial" w:cs="Arial"/>
                <w:b/>
                <w:sz w:val="20"/>
                <w:szCs w:val="20"/>
              </w:rPr>
              <w:t>. 6</w:t>
            </w:r>
          </w:p>
        </w:tc>
      </w:tr>
      <w:tr w:rsidR="00372FD3" w:rsidRPr="00EB5379" w14:paraId="75171075" w14:textId="77777777" w:rsidTr="00AD5A6D">
        <w:trPr>
          <w:jc w:val="center"/>
        </w:trPr>
        <w:tc>
          <w:tcPr>
            <w:tcW w:w="550" w:type="dxa"/>
            <w:shd w:val="clear" w:color="auto" w:fill="D9D9D9" w:themeFill="background1" w:themeFillShade="D9"/>
          </w:tcPr>
          <w:p w14:paraId="2395D66C"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4b</w:t>
            </w:r>
          </w:p>
        </w:tc>
        <w:tc>
          <w:tcPr>
            <w:tcW w:w="1637" w:type="dxa"/>
            <w:shd w:val="clear" w:color="auto" w:fill="D9D9D9" w:themeFill="background1" w:themeFillShade="D9"/>
          </w:tcPr>
          <w:p w14:paraId="464FA19C"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BOB</w:t>
            </w:r>
          </w:p>
        </w:tc>
        <w:tc>
          <w:tcPr>
            <w:tcW w:w="6885" w:type="dxa"/>
            <w:shd w:val="clear" w:color="auto" w:fill="D9D9D9" w:themeFill="background1" w:themeFillShade="D9"/>
          </w:tcPr>
          <w:p w14:paraId="77F7B63C"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Bearbeitung der UAW-Meldung durch die zuständige BOB</w:t>
            </w:r>
          </w:p>
        </w:tc>
      </w:tr>
      <w:tr w:rsidR="00372FD3" w:rsidRPr="00EB5379" w14:paraId="4802646B" w14:textId="77777777" w:rsidTr="00AD5A6D">
        <w:trPr>
          <w:jc w:val="center"/>
        </w:trPr>
        <w:tc>
          <w:tcPr>
            <w:tcW w:w="550" w:type="dxa"/>
            <w:shd w:val="clear" w:color="auto" w:fill="D9D9D9" w:themeFill="background1" w:themeFillShade="D9"/>
          </w:tcPr>
          <w:p w14:paraId="10DF51AB"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5</w:t>
            </w:r>
          </w:p>
        </w:tc>
        <w:tc>
          <w:tcPr>
            <w:tcW w:w="1637" w:type="dxa"/>
            <w:shd w:val="clear" w:color="auto" w:fill="D9D9D9" w:themeFill="background1" w:themeFillShade="D9"/>
          </w:tcPr>
          <w:p w14:paraId="624CB5A8"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Sonstige Beanstandung</w:t>
            </w:r>
          </w:p>
        </w:tc>
        <w:tc>
          <w:tcPr>
            <w:tcW w:w="6885" w:type="dxa"/>
            <w:shd w:val="clear" w:color="auto" w:fill="D9D9D9" w:themeFill="background1" w:themeFillShade="D9"/>
          </w:tcPr>
          <w:p w14:paraId="328C360D" w14:textId="314DF67F" w:rsidR="00372FD3" w:rsidRPr="00EB5379" w:rsidRDefault="00573F00" w:rsidP="00077CDF">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Handelt es sich nicht um einen RA Klasse I/II (± Rückruf), sondern um eine sonstige Beanstandung oder Einstufung als RA</w:t>
            </w:r>
            <w:r w:rsidR="00077CDF" w:rsidRPr="00EB5379">
              <w:rPr>
                <w:rFonts w:ascii="Arial" w:hAnsi="Arial" w:cs="Arial"/>
                <w:sz w:val="20"/>
                <w:szCs w:val="20"/>
              </w:rPr>
              <w:t xml:space="preserve"> bzw. Rückruf</w:t>
            </w:r>
            <w:r w:rsidRPr="00EB5379">
              <w:rPr>
                <w:rFonts w:ascii="Arial" w:hAnsi="Arial" w:cs="Arial"/>
                <w:sz w:val="20"/>
                <w:szCs w:val="20"/>
              </w:rPr>
              <w:t xml:space="preserve"> </w:t>
            </w:r>
            <w:r w:rsidR="00077CDF" w:rsidRPr="00EB5379">
              <w:rPr>
                <w:rFonts w:ascii="Arial" w:hAnsi="Arial" w:cs="Arial"/>
                <w:sz w:val="20"/>
                <w:szCs w:val="20"/>
              </w:rPr>
              <w:t xml:space="preserve">Klasse </w:t>
            </w:r>
            <w:r w:rsidRPr="00EB5379">
              <w:rPr>
                <w:rFonts w:ascii="Arial" w:hAnsi="Arial" w:cs="Arial"/>
                <w:sz w:val="20"/>
                <w:szCs w:val="20"/>
              </w:rPr>
              <w:t>III, i</w:t>
            </w:r>
            <w:r w:rsidR="00372FD3" w:rsidRPr="00EB5379">
              <w:rPr>
                <w:rFonts w:ascii="Arial" w:hAnsi="Arial" w:cs="Arial"/>
                <w:sz w:val="20"/>
                <w:szCs w:val="20"/>
              </w:rPr>
              <w:t>st keine Kommunikation über den RAN-Verteiler vorgesehen. Die Beanstandung ist abgeschlossen, sofern alle Maßnahmen infolge der risikobasierten Entscheidung</w:t>
            </w:r>
            <w:r w:rsidRPr="00EB5379">
              <w:rPr>
                <w:rFonts w:ascii="Arial" w:hAnsi="Arial" w:cs="Arial"/>
                <w:sz w:val="20"/>
                <w:szCs w:val="20"/>
              </w:rPr>
              <w:t xml:space="preserve"> abgeschlossen</w:t>
            </w:r>
            <w:r w:rsidR="00372FD3" w:rsidRPr="00EB5379">
              <w:rPr>
                <w:rFonts w:ascii="Arial" w:hAnsi="Arial" w:cs="Arial"/>
                <w:sz w:val="20"/>
                <w:szCs w:val="20"/>
              </w:rPr>
              <w:t xml:space="preserve"> sind.</w:t>
            </w:r>
          </w:p>
        </w:tc>
      </w:tr>
      <w:tr w:rsidR="00372FD3" w:rsidRPr="00EB5379" w14:paraId="363BAED9" w14:textId="77777777" w:rsidTr="00AD5A6D">
        <w:trPr>
          <w:jc w:val="center"/>
        </w:trPr>
        <w:tc>
          <w:tcPr>
            <w:tcW w:w="550" w:type="dxa"/>
            <w:shd w:val="clear" w:color="auto" w:fill="D9D9D9" w:themeFill="background1" w:themeFillShade="D9"/>
          </w:tcPr>
          <w:p w14:paraId="1ED33297"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6</w:t>
            </w:r>
          </w:p>
          <w:p w14:paraId="27489CE7" w14:textId="77777777" w:rsidR="00372FD3" w:rsidRPr="00EB5379" w:rsidRDefault="00372FD3" w:rsidP="000A2655">
            <w:pPr>
              <w:rPr>
                <w:rFonts w:ascii="Arial" w:hAnsi="Arial" w:cs="Arial"/>
                <w:sz w:val="20"/>
                <w:szCs w:val="20"/>
              </w:rPr>
            </w:pPr>
          </w:p>
          <w:p w14:paraId="27B81FCA" w14:textId="77777777" w:rsidR="00372FD3" w:rsidRPr="00EB5379" w:rsidRDefault="00372FD3" w:rsidP="000A2655">
            <w:pPr>
              <w:rPr>
                <w:rFonts w:ascii="Arial" w:hAnsi="Arial" w:cs="Arial"/>
                <w:sz w:val="20"/>
                <w:szCs w:val="20"/>
              </w:rPr>
            </w:pPr>
          </w:p>
          <w:p w14:paraId="5DA84200" w14:textId="77777777" w:rsidR="00372FD3" w:rsidRPr="00EB5379" w:rsidRDefault="00372FD3" w:rsidP="000A2655">
            <w:pPr>
              <w:rPr>
                <w:rFonts w:ascii="Arial" w:hAnsi="Arial" w:cs="Arial"/>
                <w:sz w:val="20"/>
                <w:szCs w:val="20"/>
              </w:rPr>
            </w:pPr>
          </w:p>
          <w:p w14:paraId="1AF8EDFE" w14:textId="77777777" w:rsidR="00372FD3" w:rsidRPr="00EB5379" w:rsidRDefault="00372FD3" w:rsidP="000A2655">
            <w:pPr>
              <w:rPr>
                <w:rFonts w:ascii="Arial" w:hAnsi="Arial" w:cs="Arial"/>
                <w:sz w:val="20"/>
                <w:szCs w:val="20"/>
              </w:rPr>
            </w:pPr>
          </w:p>
          <w:p w14:paraId="5ACEE3A4" w14:textId="77777777" w:rsidR="00372FD3" w:rsidRPr="00EB5379" w:rsidRDefault="00372FD3" w:rsidP="000A2655">
            <w:pPr>
              <w:rPr>
                <w:rFonts w:ascii="Arial" w:hAnsi="Arial" w:cs="Arial"/>
                <w:sz w:val="20"/>
                <w:szCs w:val="20"/>
              </w:rPr>
            </w:pPr>
          </w:p>
          <w:p w14:paraId="4DFFF786" w14:textId="77777777" w:rsidR="00372FD3" w:rsidRPr="00EB5379" w:rsidRDefault="00372FD3" w:rsidP="000A2655">
            <w:pPr>
              <w:rPr>
                <w:rFonts w:ascii="Arial" w:hAnsi="Arial" w:cs="Arial"/>
                <w:sz w:val="20"/>
                <w:szCs w:val="20"/>
              </w:rPr>
            </w:pPr>
          </w:p>
          <w:p w14:paraId="6FC7AD90" w14:textId="77777777" w:rsidR="00372FD3" w:rsidRPr="00EB5379" w:rsidRDefault="00372FD3" w:rsidP="000A2655">
            <w:pPr>
              <w:rPr>
                <w:rFonts w:ascii="Arial" w:hAnsi="Arial" w:cs="Arial"/>
                <w:sz w:val="20"/>
                <w:szCs w:val="20"/>
              </w:rPr>
            </w:pPr>
          </w:p>
          <w:p w14:paraId="5A5A5E01" w14:textId="77777777" w:rsidR="00372FD3" w:rsidRPr="00EB5379" w:rsidRDefault="00372FD3" w:rsidP="000A2655">
            <w:pPr>
              <w:rPr>
                <w:rFonts w:ascii="Arial" w:hAnsi="Arial" w:cs="Arial"/>
                <w:sz w:val="20"/>
                <w:szCs w:val="20"/>
              </w:rPr>
            </w:pPr>
          </w:p>
          <w:p w14:paraId="57D52D65" w14:textId="77777777" w:rsidR="00372FD3" w:rsidRPr="00EB5379" w:rsidRDefault="00372FD3" w:rsidP="000A2655">
            <w:pPr>
              <w:rPr>
                <w:rFonts w:ascii="Arial" w:hAnsi="Arial" w:cs="Arial"/>
                <w:sz w:val="20"/>
                <w:szCs w:val="20"/>
              </w:rPr>
            </w:pPr>
          </w:p>
          <w:p w14:paraId="283B5E26" w14:textId="77777777" w:rsidR="00372FD3" w:rsidRPr="00EB5379" w:rsidRDefault="00372FD3" w:rsidP="000A2655">
            <w:pPr>
              <w:rPr>
                <w:rFonts w:ascii="Arial" w:hAnsi="Arial" w:cs="Arial"/>
                <w:sz w:val="20"/>
                <w:szCs w:val="20"/>
              </w:rPr>
            </w:pPr>
          </w:p>
          <w:p w14:paraId="0897A536" w14:textId="77777777" w:rsidR="00372FD3" w:rsidRPr="00EB5379" w:rsidRDefault="00372FD3" w:rsidP="000A2655">
            <w:pPr>
              <w:rPr>
                <w:rFonts w:ascii="Arial" w:hAnsi="Arial" w:cs="Arial"/>
                <w:sz w:val="20"/>
                <w:szCs w:val="20"/>
              </w:rPr>
            </w:pPr>
          </w:p>
          <w:p w14:paraId="3CA9AE15" w14:textId="77777777" w:rsidR="00372FD3" w:rsidRPr="00EB5379" w:rsidRDefault="00372FD3" w:rsidP="000A2655">
            <w:pPr>
              <w:rPr>
                <w:rFonts w:ascii="Arial" w:hAnsi="Arial" w:cs="Arial"/>
                <w:sz w:val="20"/>
                <w:szCs w:val="20"/>
              </w:rPr>
            </w:pPr>
          </w:p>
          <w:p w14:paraId="54882E93" w14:textId="77777777" w:rsidR="00372FD3" w:rsidRPr="00EB5379" w:rsidRDefault="00372FD3" w:rsidP="000A2655">
            <w:pPr>
              <w:rPr>
                <w:rFonts w:ascii="Arial" w:hAnsi="Arial" w:cs="Arial"/>
                <w:sz w:val="20"/>
                <w:szCs w:val="20"/>
              </w:rPr>
            </w:pPr>
          </w:p>
          <w:p w14:paraId="076F9A2B" w14:textId="77777777" w:rsidR="00372FD3" w:rsidRPr="00EB5379" w:rsidRDefault="00372FD3" w:rsidP="000A2655">
            <w:pPr>
              <w:rPr>
                <w:rFonts w:ascii="Arial" w:hAnsi="Arial" w:cs="Arial"/>
                <w:sz w:val="20"/>
                <w:szCs w:val="20"/>
              </w:rPr>
            </w:pPr>
          </w:p>
          <w:p w14:paraId="5F7A1226" w14:textId="77777777" w:rsidR="00372FD3" w:rsidRPr="00EB5379" w:rsidRDefault="00372FD3" w:rsidP="000A2655">
            <w:pPr>
              <w:rPr>
                <w:rFonts w:ascii="Arial" w:hAnsi="Arial" w:cs="Arial"/>
                <w:sz w:val="20"/>
                <w:szCs w:val="20"/>
              </w:rPr>
            </w:pPr>
          </w:p>
          <w:p w14:paraId="6917344A" w14:textId="77777777" w:rsidR="00372FD3" w:rsidRPr="00EB5379" w:rsidRDefault="00372FD3" w:rsidP="000A2655">
            <w:pPr>
              <w:rPr>
                <w:rFonts w:ascii="Arial" w:hAnsi="Arial" w:cs="Arial"/>
                <w:sz w:val="20"/>
                <w:szCs w:val="20"/>
              </w:rPr>
            </w:pPr>
          </w:p>
          <w:p w14:paraId="3A3DD7B8" w14:textId="77777777" w:rsidR="00372FD3" w:rsidRPr="00EB5379" w:rsidRDefault="00372FD3" w:rsidP="000A2655">
            <w:pPr>
              <w:rPr>
                <w:rFonts w:ascii="Arial" w:hAnsi="Arial" w:cs="Arial"/>
                <w:sz w:val="20"/>
                <w:szCs w:val="20"/>
              </w:rPr>
            </w:pPr>
          </w:p>
          <w:p w14:paraId="718989B4" w14:textId="77777777" w:rsidR="00372FD3" w:rsidRPr="00EB5379" w:rsidRDefault="00372FD3" w:rsidP="000A2655">
            <w:pPr>
              <w:rPr>
                <w:rFonts w:ascii="Arial" w:hAnsi="Arial" w:cs="Arial"/>
                <w:sz w:val="20"/>
                <w:szCs w:val="20"/>
              </w:rPr>
            </w:pPr>
          </w:p>
          <w:p w14:paraId="4474B2C1" w14:textId="77777777" w:rsidR="00372FD3" w:rsidRPr="00EB5379" w:rsidRDefault="00372FD3" w:rsidP="000A2655">
            <w:pPr>
              <w:rPr>
                <w:rFonts w:ascii="Arial" w:hAnsi="Arial" w:cs="Arial"/>
                <w:sz w:val="20"/>
                <w:szCs w:val="20"/>
              </w:rPr>
            </w:pPr>
          </w:p>
          <w:p w14:paraId="4BFA7366" w14:textId="77777777" w:rsidR="00372FD3" w:rsidRPr="00EB5379" w:rsidRDefault="00372FD3" w:rsidP="000A2655">
            <w:pPr>
              <w:rPr>
                <w:rFonts w:ascii="Arial" w:hAnsi="Arial" w:cs="Arial"/>
                <w:sz w:val="20"/>
                <w:szCs w:val="20"/>
              </w:rPr>
            </w:pPr>
          </w:p>
          <w:p w14:paraId="6229EF5D" w14:textId="77777777" w:rsidR="00372FD3" w:rsidRPr="00EB5379" w:rsidRDefault="00372FD3" w:rsidP="000A2655">
            <w:pPr>
              <w:rPr>
                <w:rFonts w:ascii="Arial" w:hAnsi="Arial" w:cs="Arial"/>
                <w:sz w:val="20"/>
                <w:szCs w:val="20"/>
              </w:rPr>
            </w:pPr>
          </w:p>
          <w:p w14:paraId="7DD09E6B" w14:textId="77777777" w:rsidR="00372FD3" w:rsidRPr="00EB5379" w:rsidRDefault="00372FD3" w:rsidP="000A2655">
            <w:pPr>
              <w:rPr>
                <w:rFonts w:ascii="Arial" w:hAnsi="Arial" w:cs="Arial"/>
                <w:sz w:val="20"/>
                <w:szCs w:val="20"/>
              </w:rPr>
            </w:pPr>
          </w:p>
          <w:p w14:paraId="475A74B1" w14:textId="77777777" w:rsidR="00372FD3" w:rsidRPr="00EB5379" w:rsidRDefault="00372FD3" w:rsidP="000A2655">
            <w:pPr>
              <w:rPr>
                <w:rFonts w:ascii="Arial" w:hAnsi="Arial" w:cs="Arial"/>
                <w:sz w:val="20"/>
                <w:szCs w:val="20"/>
              </w:rPr>
            </w:pPr>
          </w:p>
          <w:p w14:paraId="743B9406" w14:textId="77777777" w:rsidR="00372FD3" w:rsidRPr="00EB5379" w:rsidRDefault="00372FD3" w:rsidP="000A2655">
            <w:pPr>
              <w:rPr>
                <w:rFonts w:ascii="Arial" w:hAnsi="Arial" w:cs="Arial"/>
                <w:sz w:val="20"/>
                <w:szCs w:val="20"/>
              </w:rPr>
            </w:pPr>
          </w:p>
        </w:tc>
        <w:tc>
          <w:tcPr>
            <w:tcW w:w="1637" w:type="dxa"/>
            <w:shd w:val="clear" w:color="auto" w:fill="D9D9D9" w:themeFill="background1" w:themeFillShade="D9"/>
          </w:tcPr>
          <w:p w14:paraId="25F30DC2" w14:textId="5DE310E0" w:rsidR="00372FD3" w:rsidRPr="00EB5379" w:rsidRDefault="00372FD3" w:rsidP="000A2655">
            <w:pPr>
              <w:widowControl w:val="0"/>
              <w:rPr>
                <w:rFonts w:ascii="Arial" w:hAnsi="Arial" w:cs="Arial"/>
                <w:sz w:val="20"/>
                <w:szCs w:val="20"/>
              </w:rPr>
            </w:pPr>
            <w:r w:rsidRPr="00EB5379">
              <w:rPr>
                <w:rFonts w:ascii="Arial" w:hAnsi="Arial" w:cs="Arial"/>
                <w:sz w:val="20"/>
                <w:szCs w:val="20"/>
              </w:rPr>
              <w:t>Hinweis auf Q</w:t>
            </w:r>
            <w:r w:rsidR="00B1395E">
              <w:rPr>
                <w:rFonts w:ascii="Arial" w:hAnsi="Arial" w:cs="Arial"/>
                <w:sz w:val="20"/>
                <w:szCs w:val="20"/>
              </w:rPr>
              <w:t>D</w:t>
            </w:r>
            <w:r w:rsidRPr="00EB5379">
              <w:rPr>
                <w:rFonts w:ascii="Arial" w:hAnsi="Arial" w:cs="Arial"/>
                <w:sz w:val="20"/>
                <w:szCs w:val="20"/>
              </w:rPr>
              <w:t>: MAH in DE?</w:t>
            </w:r>
          </w:p>
          <w:p w14:paraId="14983100" w14:textId="77777777" w:rsidR="006B5F78" w:rsidRPr="00EB5379" w:rsidRDefault="006B5F78" w:rsidP="000A2655">
            <w:pPr>
              <w:widowControl w:val="0"/>
              <w:rPr>
                <w:rFonts w:ascii="Arial" w:hAnsi="Arial" w:cs="Arial"/>
                <w:sz w:val="20"/>
                <w:szCs w:val="20"/>
              </w:rPr>
            </w:pPr>
          </w:p>
          <w:p w14:paraId="6B0B4EE1" w14:textId="0EFC024C" w:rsidR="006B5F78" w:rsidRPr="00EB5379" w:rsidRDefault="006B5F78" w:rsidP="006B5F78">
            <w:pPr>
              <w:widowControl w:val="0"/>
              <w:rPr>
                <w:rFonts w:ascii="Arial" w:hAnsi="Arial" w:cs="Arial"/>
                <w:sz w:val="20"/>
                <w:szCs w:val="20"/>
              </w:rPr>
            </w:pPr>
            <w:r w:rsidRPr="00EB5379">
              <w:rPr>
                <w:rFonts w:ascii="Arial" w:hAnsi="Arial" w:cs="Arial"/>
                <w:sz w:val="20"/>
                <w:szCs w:val="20"/>
              </w:rPr>
              <w:t>inkl.:</w:t>
            </w:r>
          </w:p>
          <w:p w14:paraId="2BDDEB7A" w14:textId="77777777" w:rsidR="006B5F78" w:rsidRPr="00EB5379" w:rsidRDefault="006B5F78" w:rsidP="006B5F78">
            <w:pPr>
              <w:widowControl w:val="0"/>
              <w:numPr>
                <w:ilvl w:val="0"/>
                <w:numId w:val="16"/>
              </w:numPr>
              <w:ind w:left="170" w:hanging="170"/>
              <w:rPr>
                <w:rFonts w:ascii="Arial" w:hAnsi="Arial" w:cs="Arial"/>
                <w:sz w:val="20"/>
                <w:szCs w:val="20"/>
              </w:rPr>
            </w:pPr>
            <w:r w:rsidRPr="00EB5379">
              <w:rPr>
                <w:rFonts w:ascii="Arial" w:hAnsi="Arial" w:cs="Arial"/>
                <w:sz w:val="20"/>
                <w:szCs w:val="20"/>
              </w:rPr>
              <w:t>Parallelimport</w:t>
            </w:r>
          </w:p>
          <w:p w14:paraId="2C602E66" w14:textId="77777777" w:rsidR="006B5F78" w:rsidRPr="00EB5379" w:rsidRDefault="006B5F78" w:rsidP="006B5F78">
            <w:pPr>
              <w:widowControl w:val="0"/>
              <w:numPr>
                <w:ilvl w:val="0"/>
                <w:numId w:val="16"/>
              </w:numPr>
              <w:ind w:left="170" w:hanging="170"/>
              <w:rPr>
                <w:rFonts w:ascii="Arial" w:hAnsi="Arial" w:cs="Arial"/>
                <w:sz w:val="20"/>
                <w:szCs w:val="20"/>
              </w:rPr>
            </w:pPr>
            <w:r w:rsidRPr="00EB5379">
              <w:rPr>
                <w:rFonts w:ascii="Arial" w:hAnsi="Arial" w:cs="Arial"/>
                <w:sz w:val="20"/>
                <w:szCs w:val="20"/>
              </w:rPr>
              <w:t>Zentrale Zulassung/Parallelvertrieb</w:t>
            </w:r>
          </w:p>
          <w:p w14:paraId="2CAA8F56" w14:textId="41887E40" w:rsidR="006B5F78" w:rsidRPr="00EB5379" w:rsidRDefault="006B5F78" w:rsidP="006B5F78">
            <w:pPr>
              <w:widowControl w:val="0"/>
              <w:numPr>
                <w:ilvl w:val="0"/>
                <w:numId w:val="16"/>
              </w:numPr>
              <w:ind w:left="170" w:hanging="170"/>
              <w:rPr>
                <w:rFonts w:ascii="Arial" w:hAnsi="Arial" w:cs="Arial"/>
                <w:sz w:val="20"/>
                <w:szCs w:val="20"/>
              </w:rPr>
            </w:pPr>
            <w:r w:rsidRPr="00EB5379">
              <w:rPr>
                <w:rFonts w:ascii="Arial" w:hAnsi="Arial" w:cs="Arial"/>
                <w:sz w:val="20"/>
                <w:szCs w:val="20"/>
              </w:rPr>
              <w:t>Mitvertrieb</w:t>
            </w:r>
          </w:p>
        </w:tc>
        <w:tc>
          <w:tcPr>
            <w:tcW w:w="6885" w:type="dxa"/>
            <w:shd w:val="clear" w:color="auto" w:fill="D9D9D9" w:themeFill="background1" w:themeFillShade="D9"/>
          </w:tcPr>
          <w:p w14:paraId="2649921D"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Prüfung, ob MAH in DE ansässig</w:t>
            </w:r>
          </w:p>
          <w:p w14:paraId="6F771B07" w14:textId="2C8323C6" w:rsidR="00372FD3" w:rsidRPr="00153768"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EB5379">
              <w:rPr>
                <w:rFonts w:ascii="Arial" w:hAnsi="Arial" w:cs="Arial"/>
                <w:sz w:val="20"/>
                <w:szCs w:val="20"/>
              </w:rPr>
              <w:t xml:space="preserve">wenn NEIN: Weiterleitung der </w:t>
            </w:r>
            <w:r w:rsidRPr="00153768">
              <w:rPr>
                <w:rFonts w:ascii="Arial" w:hAnsi="Arial" w:cs="Arial"/>
                <w:sz w:val="20"/>
                <w:szCs w:val="20"/>
              </w:rPr>
              <w:t xml:space="preserve">Information über den Hinweis auf QD durch erstinvolvierte Behörde an BOB → </w:t>
            </w:r>
            <w:r w:rsidRPr="00153768">
              <w:rPr>
                <w:rFonts w:ascii="Arial" w:hAnsi="Arial" w:cs="Arial"/>
                <w:b/>
                <w:sz w:val="20"/>
                <w:szCs w:val="20"/>
              </w:rPr>
              <w:t>Nr. 10</w:t>
            </w:r>
          </w:p>
          <w:p w14:paraId="4754DA19" w14:textId="77777777" w:rsidR="00372FD3" w:rsidRPr="00EB5379" w:rsidRDefault="00372FD3" w:rsidP="00372FD3">
            <w:pPr>
              <w:pStyle w:val="Listenabsatz"/>
              <w:widowControl w:val="0"/>
              <w:numPr>
                <w:ilvl w:val="2"/>
                <w:numId w:val="13"/>
              </w:numPr>
              <w:spacing w:before="60"/>
              <w:ind w:left="510" w:hanging="170"/>
              <w:contextualSpacing w:val="0"/>
              <w:rPr>
                <w:rFonts w:ascii="Arial" w:hAnsi="Arial" w:cs="Arial"/>
                <w:sz w:val="20"/>
                <w:szCs w:val="20"/>
              </w:rPr>
            </w:pPr>
            <w:r w:rsidRPr="00153768">
              <w:rPr>
                <w:rFonts w:ascii="Arial" w:hAnsi="Arial" w:cs="Arial"/>
                <w:sz w:val="20"/>
                <w:szCs w:val="20"/>
              </w:rPr>
              <w:t>wenn erstinvolvierte Behörde = LB: zusä</w:t>
            </w:r>
            <w:r w:rsidRPr="00EB5379">
              <w:rPr>
                <w:rFonts w:ascii="Arial" w:hAnsi="Arial" w:cs="Arial"/>
                <w:sz w:val="20"/>
                <w:szCs w:val="20"/>
              </w:rPr>
              <w:t>tzlich Prüfung auf Gefahr im Verzug (s. u.) und ggf. Kommunikation über RAS-Verteiler, aber NUR DE-weit!</w:t>
            </w:r>
          </w:p>
          <w:p w14:paraId="1D3FC2FB" w14:textId="77777777" w:rsidR="00372FD3" w:rsidRPr="00EB5379" w:rsidRDefault="00372FD3" w:rsidP="00372FD3">
            <w:pPr>
              <w:pStyle w:val="Listenabsatz"/>
              <w:widowControl w:val="0"/>
              <w:numPr>
                <w:ilvl w:val="2"/>
                <w:numId w:val="13"/>
              </w:numPr>
              <w:spacing w:before="60"/>
              <w:ind w:left="510" w:hanging="170"/>
              <w:contextualSpacing w:val="0"/>
              <w:rPr>
                <w:rFonts w:ascii="Arial" w:hAnsi="Arial" w:cs="Arial"/>
                <w:sz w:val="20"/>
                <w:szCs w:val="20"/>
              </w:rPr>
            </w:pPr>
            <w:r w:rsidRPr="00EB5379">
              <w:rPr>
                <w:rFonts w:ascii="Arial" w:hAnsi="Arial" w:cs="Arial"/>
                <w:sz w:val="20"/>
                <w:szCs w:val="20"/>
              </w:rPr>
              <w:t xml:space="preserve">wenn erstinvolvierte Behörde = BOB: bei der Weitergabe der Information an die für den MAH zuständige EU-Behörde nachrichtliche Beteiligung der aufgrund Herkunft der Meldung (z. B. Sitz der Apotheke) relevanten LB zur Prüfung auf Gefahr im Verzug als „Ersatz-LB“. Die „Ersatz-LB“ teilt BOB Ergebnis der Bewertung auf Gefahr im Verzug mit; ggf. Kommunikation über RAS-Verteiler, aber NUR DE-weit! </w:t>
            </w:r>
          </w:p>
          <w:p w14:paraId="3227DF1E" w14:textId="77777777" w:rsidR="00372FD3" w:rsidRPr="00EB5379" w:rsidRDefault="00372FD3" w:rsidP="00372FD3">
            <w:pPr>
              <w:pStyle w:val="Listenabsatz"/>
              <w:widowControl w:val="0"/>
              <w:numPr>
                <w:ilvl w:val="1"/>
                <w:numId w:val="13"/>
              </w:numPr>
              <w:spacing w:before="60" w:after="60"/>
              <w:ind w:left="340" w:hanging="170"/>
              <w:contextualSpacing w:val="0"/>
              <w:rPr>
                <w:rFonts w:ascii="Arial" w:hAnsi="Arial" w:cs="Arial"/>
                <w:b/>
                <w:sz w:val="20"/>
                <w:szCs w:val="20"/>
              </w:rPr>
            </w:pPr>
            <w:r w:rsidRPr="00EB5379">
              <w:rPr>
                <w:rFonts w:ascii="Arial" w:hAnsi="Arial" w:cs="Arial"/>
                <w:sz w:val="20"/>
                <w:szCs w:val="20"/>
              </w:rPr>
              <w:t xml:space="preserve">wenn JA: Weiterleitung an die zuständige LB → </w:t>
            </w:r>
            <w:r w:rsidRPr="00EB5379">
              <w:rPr>
                <w:rFonts w:ascii="Arial" w:hAnsi="Arial" w:cs="Arial"/>
                <w:b/>
                <w:sz w:val="20"/>
                <w:szCs w:val="20"/>
              </w:rPr>
              <w:t>Nr. 7</w:t>
            </w:r>
          </w:p>
          <w:p w14:paraId="3EA743C3" w14:textId="77777777" w:rsidR="00372FD3" w:rsidRPr="00EB5379" w:rsidRDefault="00372FD3" w:rsidP="000A2655">
            <w:pPr>
              <w:pStyle w:val="Listenabsatz"/>
              <w:widowControl w:val="0"/>
              <w:spacing w:before="60" w:after="60"/>
              <w:ind w:left="340"/>
              <w:contextualSpacing w:val="0"/>
              <w:rPr>
                <w:rFonts w:ascii="Arial" w:hAnsi="Arial" w:cs="Arial"/>
                <w:sz w:val="20"/>
                <w:szCs w:val="20"/>
              </w:rPr>
            </w:pPr>
            <w:r w:rsidRPr="00EB5379">
              <w:rPr>
                <w:rFonts w:ascii="Arial" w:hAnsi="Arial" w:cs="Arial"/>
                <w:sz w:val="20"/>
                <w:szCs w:val="20"/>
              </w:rPr>
              <w:t xml:space="preserve">zuständige LB bestimmt sich grundsätzlich nach dem Sitz des MAH in DE. </w:t>
            </w:r>
          </w:p>
          <w:p w14:paraId="31DF5CB8" w14:textId="0329F2FD" w:rsidR="00372FD3" w:rsidRPr="00153768" w:rsidRDefault="00372FD3" w:rsidP="000A2655">
            <w:pPr>
              <w:widowControl w:val="0"/>
              <w:tabs>
                <w:tab w:val="left" w:pos="276"/>
              </w:tabs>
              <w:spacing w:before="120"/>
              <w:rPr>
                <w:rFonts w:ascii="Arial" w:hAnsi="Arial" w:cs="Arial"/>
                <w:b/>
                <w:sz w:val="20"/>
                <w:szCs w:val="20"/>
                <w:u w:val="single"/>
              </w:rPr>
            </w:pPr>
            <w:r w:rsidRPr="00EB5379">
              <w:rPr>
                <w:rFonts w:ascii="Arial" w:hAnsi="Arial" w:cs="Arial"/>
                <w:b/>
                <w:sz w:val="20"/>
                <w:szCs w:val="20"/>
                <w:u w:val="single"/>
              </w:rPr>
              <w:t>Parallelimport (</w:t>
            </w:r>
            <w:r w:rsidRPr="00153768">
              <w:rPr>
                <w:rFonts w:ascii="Arial" w:hAnsi="Arial" w:cs="Arial"/>
                <w:b/>
                <w:sz w:val="20"/>
                <w:szCs w:val="20"/>
                <w:u w:val="single"/>
              </w:rPr>
              <w:t>sofern die Erstmeldung ein parallelimportiertes Arzneimittel betrifft</w:t>
            </w:r>
            <w:r w:rsidR="00A33B34" w:rsidRPr="00153768">
              <w:rPr>
                <w:rFonts w:ascii="Arial" w:hAnsi="Arial" w:cs="Arial"/>
                <w:b/>
                <w:sz w:val="20"/>
                <w:szCs w:val="20"/>
                <w:u w:val="single"/>
              </w:rPr>
              <w:t>)</w:t>
            </w:r>
            <w:r w:rsidRPr="00153768">
              <w:rPr>
                <w:rFonts w:ascii="Arial" w:hAnsi="Arial" w:cs="Arial"/>
                <w:b/>
                <w:sz w:val="20"/>
                <w:szCs w:val="20"/>
                <w:u w:val="single"/>
              </w:rPr>
              <w:t xml:space="preserve">: </w:t>
            </w:r>
          </w:p>
          <w:p w14:paraId="60F4C041" w14:textId="77777777" w:rsidR="00372FD3" w:rsidRPr="00153768"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153768">
              <w:rPr>
                <w:rFonts w:ascii="Arial" w:hAnsi="Arial" w:cs="Arial"/>
                <w:sz w:val="20"/>
                <w:szCs w:val="20"/>
              </w:rPr>
              <w:t>MAH (Original) in DE und Parallelimporteur in DE:</w:t>
            </w:r>
          </w:p>
          <w:p w14:paraId="28806D68" w14:textId="77777777" w:rsidR="00372FD3" w:rsidRPr="00EB5379"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153768">
              <w:rPr>
                <w:rFonts w:ascii="Arial" w:hAnsi="Arial" w:cs="Arial"/>
                <w:sz w:val="20"/>
                <w:szCs w:val="20"/>
              </w:rPr>
              <w:t>in 1 Land: LB kontaktiert</w:t>
            </w:r>
            <w:r w:rsidRPr="00EB5379">
              <w:rPr>
                <w:rFonts w:ascii="Arial" w:hAnsi="Arial" w:cs="Arial"/>
                <w:sz w:val="20"/>
                <w:szCs w:val="20"/>
              </w:rPr>
              <w:t xml:space="preserve"> beide</w:t>
            </w:r>
          </w:p>
          <w:p w14:paraId="61F208EB" w14:textId="77777777" w:rsidR="00372FD3" w:rsidRPr="00EB5379"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EB5379">
              <w:rPr>
                <w:rFonts w:ascii="Arial" w:hAnsi="Arial" w:cs="Arial"/>
                <w:sz w:val="20"/>
                <w:szCs w:val="20"/>
              </w:rPr>
              <w:t>in 2 Ländern: entscheidend ist für Parallelimporteur zuständige LB,</w:t>
            </w:r>
            <w:r w:rsidRPr="00EB5379">
              <w:rPr>
                <w:rFonts w:ascii="Arial" w:hAnsi="Arial" w:cs="Arial"/>
                <w:sz w:val="20"/>
                <w:szCs w:val="20"/>
              </w:rPr>
              <w:br/>
              <w:t>aber Infos an und Abstimmung mit für MAH (Original) zuständigen Behörde</w:t>
            </w:r>
          </w:p>
          <w:p w14:paraId="2FF55C47"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MAH (Original) im Ausland und Parallelimporteur in DE: → </w:t>
            </w:r>
            <w:r w:rsidRPr="00EB5379">
              <w:rPr>
                <w:rFonts w:ascii="Arial" w:hAnsi="Arial" w:cs="Arial"/>
                <w:b/>
                <w:sz w:val="20"/>
                <w:szCs w:val="20"/>
              </w:rPr>
              <w:t>Nr. 10</w:t>
            </w:r>
            <w:r w:rsidRPr="00EB5379">
              <w:rPr>
                <w:rFonts w:ascii="Arial" w:hAnsi="Arial" w:cs="Arial"/>
                <w:sz w:val="20"/>
                <w:szCs w:val="20"/>
              </w:rPr>
              <w:br/>
              <w:t>[Anmerkung: Ist ausschließlich das parallelimportierte Arzneimittel betroffen verbleibt die Zuständigkeit bei der zuständigen LB)]</w:t>
            </w:r>
          </w:p>
          <w:p w14:paraId="72E1DF84"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b/>
                <w:sz w:val="20"/>
                <w:szCs w:val="20"/>
              </w:rPr>
            </w:pPr>
            <w:r w:rsidRPr="00EB5379">
              <w:rPr>
                <w:rFonts w:ascii="Arial" w:hAnsi="Arial" w:cs="Arial"/>
                <w:sz w:val="20"/>
                <w:szCs w:val="20"/>
              </w:rPr>
              <w:t xml:space="preserve">MAH (Original) und Parallelimporteur im Ausland: → </w:t>
            </w:r>
            <w:r w:rsidRPr="00EB5379">
              <w:rPr>
                <w:rFonts w:ascii="Arial" w:hAnsi="Arial" w:cs="Arial"/>
                <w:b/>
                <w:sz w:val="20"/>
                <w:szCs w:val="20"/>
              </w:rPr>
              <w:t>Nr. 10</w:t>
            </w:r>
            <w:r w:rsidRPr="00EB5379">
              <w:rPr>
                <w:rFonts w:ascii="Arial" w:hAnsi="Arial" w:cs="Arial"/>
                <w:b/>
                <w:sz w:val="20"/>
                <w:szCs w:val="20"/>
              </w:rPr>
              <w:tab/>
            </w:r>
          </w:p>
          <w:p w14:paraId="5E48AEFB" w14:textId="42E21F62" w:rsidR="00372FD3" w:rsidRPr="00EB5379" w:rsidRDefault="00372FD3" w:rsidP="000A2655">
            <w:pPr>
              <w:widowControl w:val="0"/>
              <w:tabs>
                <w:tab w:val="left" w:pos="276"/>
              </w:tabs>
              <w:spacing w:before="120"/>
              <w:rPr>
                <w:rFonts w:ascii="Arial" w:hAnsi="Arial" w:cs="Arial"/>
                <w:b/>
                <w:sz w:val="20"/>
                <w:szCs w:val="20"/>
                <w:u w:val="single"/>
              </w:rPr>
            </w:pPr>
            <w:r w:rsidRPr="00EB5379">
              <w:rPr>
                <w:rFonts w:ascii="Arial" w:hAnsi="Arial" w:cs="Arial"/>
                <w:b/>
                <w:sz w:val="20"/>
                <w:szCs w:val="20"/>
                <w:u w:val="single"/>
              </w:rPr>
              <w:t>Zentrale Zulassungen/Parallelvertrieb:</w:t>
            </w:r>
          </w:p>
          <w:p w14:paraId="256DBFE8"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Bei zentralen Zulassungen und Parallelvertrieb ist die EMA mit zu informieren (durch BOB)</w:t>
            </w:r>
          </w:p>
          <w:p w14:paraId="7E67F042"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Für Meldewege siehe Parallelimport</w:t>
            </w:r>
          </w:p>
          <w:p w14:paraId="30ECD7F4" w14:textId="77777777" w:rsidR="006B5F78" w:rsidRPr="00EB5379" w:rsidRDefault="00372FD3" w:rsidP="0082311C">
            <w:pPr>
              <w:pStyle w:val="Listenabsatz"/>
              <w:widowControl w:val="0"/>
              <w:numPr>
                <w:ilvl w:val="0"/>
                <w:numId w:val="13"/>
              </w:numPr>
              <w:spacing w:before="120"/>
              <w:ind w:left="170" w:hanging="170"/>
              <w:contextualSpacing w:val="0"/>
              <w:rPr>
                <w:rFonts w:ascii="Arial" w:hAnsi="Arial" w:cs="Arial"/>
                <w:b/>
                <w:sz w:val="20"/>
                <w:szCs w:val="20"/>
              </w:rPr>
            </w:pPr>
            <w:r w:rsidRPr="00EB5379">
              <w:rPr>
                <w:rFonts w:ascii="Arial" w:hAnsi="Arial" w:cs="Arial"/>
                <w:sz w:val="20"/>
                <w:szCs w:val="20"/>
              </w:rPr>
              <w:t xml:space="preserve">Bei Risikomeldungen, die von der EMA koordiniert werden, kann auch die </w:t>
            </w:r>
            <w:r w:rsidRPr="00EB5379">
              <w:rPr>
                <w:rFonts w:ascii="Arial" w:hAnsi="Arial" w:cs="Arial"/>
                <w:sz w:val="20"/>
                <w:szCs w:val="20"/>
              </w:rPr>
              <w:lastRenderedPageBreak/>
              <w:t>zuständige LB für den endfreigebenden Hersteller in die Untersuchung miteinbezogen werden.</w:t>
            </w:r>
          </w:p>
          <w:p w14:paraId="638F3FE3" w14:textId="54E624A1" w:rsidR="00372FD3" w:rsidRPr="00EB5379" w:rsidRDefault="00372FD3" w:rsidP="006B5F78">
            <w:pPr>
              <w:pStyle w:val="Listenabsatz"/>
              <w:widowControl w:val="0"/>
              <w:spacing w:before="120"/>
              <w:ind w:left="170"/>
              <w:contextualSpacing w:val="0"/>
              <w:rPr>
                <w:rFonts w:ascii="Arial" w:hAnsi="Arial" w:cs="Arial"/>
                <w:b/>
                <w:sz w:val="20"/>
                <w:szCs w:val="20"/>
              </w:rPr>
            </w:pPr>
            <w:r w:rsidRPr="00EB5379">
              <w:rPr>
                <w:rFonts w:ascii="Arial" w:hAnsi="Arial" w:cs="Arial"/>
                <w:b/>
                <w:sz w:val="20"/>
                <w:szCs w:val="20"/>
              </w:rPr>
              <w:t>Hinweis:</w:t>
            </w:r>
            <w:r w:rsidRPr="00EB5379">
              <w:rPr>
                <w:rFonts w:ascii="Arial" w:hAnsi="Arial" w:cs="Arial"/>
                <w:sz w:val="20"/>
                <w:szCs w:val="20"/>
              </w:rPr>
              <w:t xml:space="preserve"> Ist der MAH nicht in DE ansässig, können bei Gefahr im Verzug parallel Maßnahmen im eigenen Zuständigkeitsbereich ergriffen werden (siehe Länderregelungen zu Informationswegen und Zuständigkeiten bei Arzneimittelzwischenfällen) → rot gestrichelter Pfeil von → </w:t>
            </w:r>
            <w:r w:rsidRPr="00EB5379">
              <w:rPr>
                <w:rFonts w:ascii="Arial" w:hAnsi="Arial" w:cs="Arial"/>
                <w:b/>
                <w:sz w:val="20"/>
                <w:szCs w:val="20"/>
              </w:rPr>
              <w:t>Nr. 6</w:t>
            </w:r>
            <w:r w:rsidRPr="00EB5379">
              <w:rPr>
                <w:rFonts w:ascii="Arial" w:hAnsi="Arial" w:cs="Arial"/>
                <w:sz w:val="20"/>
                <w:szCs w:val="20"/>
              </w:rPr>
              <w:t xml:space="preserve"> zu → </w:t>
            </w:r>
            <w:r w:rsidRPr="00EB5379">
              <w:rPr>
                <w:rFonts w:ascii="Arial" w:hAnsi="Arial" w:cs="Arial"/>
                <w:b/>
                <w:sz w:val="20"/>
                <w:szCs w:val="20"/>
              </w:rPr>
              <w:t>Nr.</w:t>
            </w:r>
            <w:r w:rsidR="006B5F78" w:rsidRPr="00EB5379">
              <w:rPr>
                <w:rFonts w:ascii="Arial" w:hAnsi="Arial" w:cs="Arial"/>
                <w:b/>
                <w:sz w:val="20"/>
                <w:szCs w:val="20"/>
              </w:rPr>
              <w:t> </w:t>
            </w:r>
            <w:r w:rsidRPr="00EB5379">
              <w:rPr>
                <w:rFonts w:ascii="Arial" w:hAnsi="Arial" w:cs="Arial"/>
                <w:b/>
                <w:sz w:val="20"/>
                <w:szCs w:val="20"/>
              </w:rPr>
              <w:t>9</w:t>
            </w:r>
          </w:p>
          <w:p w14:paraId="0992DB88" w14:textId="01E8D9F8" w:rsidR="00372FD3" w:rsidRPr="00EB5379" w:rsidRDefault="00372FD3" w:rsidP="000A2655">
            <w:pPr>
              <w:widowControl w:val="0"/>
              <w:spacing w:before="120"/>
              <w:rPr>
                <w:rFonts w:ascii="Arial" w:hAnsi="Arial" w:cs="Arial"/>
                <w:b/>
                <w:sz w:val="20"/>
                <w:szCs w:val="20"/>
              </w:rPr>
            </w:pPr>
            <w:r w:rsidRPr="00EB5379">
              <w:rPr>
                <w:rFonts w:ascii="Arial" w:hAnsi="Arial" w:cs="Arial"/>
                <w:b/>
                <w:sz w:val="20"/>
                <w:szCs w:val="20"/>
                <w:u w:val="single"/>
              </w:rPr>
              <w:t>Mitvertrieb</w:t>
            </w:r>
            <w:r w:rsidR="007B372F" w:rsidRPr="00EB5379">
              <w:rPr>
                <w:rFonts w:ascii="Arial" w:hAnsi="Arial" w:cs="Arial"/>
                <w:b/>
                <w:sz w:val="20"/>
                <w:szCs w:val="20"/>
                <w:u w:val="single"/>
              </w:rPr>
              <w:t xml:space="preserve"> in DE</w:t>
            </w:r>
            <w:r w:rsidRPr="00EB5379">
              <w:rPr>
                <w:rFonts w:ascii="Arial" w:hAnsi="Arial" w:cs="Arial"/>
                <w:b/>
                <w:sz w:val="20"/>
                <w:szCs w:val="20"/>
              </w:rPr>
              <w:t>:</w:t>
            </w:r>
          </w:p>
          <w:p w14:paraId="6C329BFE" w14:textId="3D0735E4" w:rsidR="002C5F66" w:rsidRPr="00EB5379" w:rsidRDefault="007B372F" w:rsidP="002C5F66">
            <w:pPr>
              <w:widowControl w:val="0"/>
              <w:spacing w:before="120"/>
              <w:rPr>
                <w:rFonts w:ascii="Arial" w:hAnsi="Arial" w:cs="Arial"/>
                <w:sz w:val="20"/>
                <w:szCs w:val="20"/>
              </w:rPr>
            </w:pPr>
            <w:r w:rsidRPr="00EB5379">
              <w:rPr>
                <w:rFonts w:ascii="Arial" w:hAnsi="Arial" w:cs="Arial"/>
                <w:sz w:val="20"/>
                <w:szCs w:val="20"/>
              </w:rPr>
              <w:t xml:space="preserve">Sitzt </w:t>
            </w:r>
            <w:r w:rsidR="00372FD3" w:rsidRPr="00EB5379">
              <w:rPr>
                <w:rFonts w:ascii="Arial" w:hAnsi="Arial" w:cs="Arial"/>
                <w:sz w:val="20"/>
                <w:szCs w:val="20"/>
              </w:rPr>
              <w:t>der Inverkehrbringer</w:t>
            </w:r>
            <w:r w:rsidRPr="00EB5379">
              <w:rPr>
                <w:rFonts w:ascii="Arial" w:hAnsi="Arial" w:cs="Arial"/>
                <w:sz w:val="20"/>
                <w:szCs w:val="20"/>
              </w:rPr>
              <w:t xml:space="preserve"> in DE und ist</w:t>
            </w:r>
            <w:r w:rsidR="00372FD3" w:rsidRPr="00EB5379">
              <w:rPr>
                <w:rFonts w:ascii="Arial" w:hAnsi="Arial" w:cs="Arial"/>
                <w:sz w:val="20"/>
                <w:szCs w:val="20"/>
              </w:rPr>
              <w:t xml:space="preserve"> nicht zugleich Zulassungsinhaber, so ist die LB für den Inverkehrbringer der betroffenen Ware zuständig.</w:t>
            </w:r>
            <w:r w:rsidR="002C5F66" w:rsidRPr="00EB5379">
              <w:rPr>
                <w:rFonts w:ascii="Arial" w:hAnsi="Arial" w:cs="Arial"/>
                <w:sz w:val="20"/>
                <w:szCs w:val="20"/>
              </w:rPr>
              <w:t xml:space="preserve"> Die erstinvolvierte Behörde leitet die Meldung sowohl an die für den Inverkehrbringer zuständige LB als auch an die für den Zulassungsinhaber zuständige LB weiter (→ Nr. 7). </w:t>
            </w:r>
          </w:p>
          <w:p w14:paraId="61FCB1BE" w14:textId="6C9747CC" w:rsidR="00372FD3" w:rsidRPr="00EB5379" w:rsidRDefault="002C5F66" w:rsidP="002C5F66">
            <w:pPr>
              <w:widowControl w:val="0"/>
              <w:spacing w:before="120"/>
              <w:rPr>
                <w:rFonts w:ascii="Arial" w:hAnsi="Arial" w:cs="Arial"/>
                <w:sz w:val="20"/>
                <w:szCs w:val="20"/>
              </w:rPr>
            </w:pPr>
            <w:r w:rsidRPr="00EB5379">
              <w:rPr>
                <w:rFonts w:ascii="Arial" w:hAnsi="Arial" w:cs="Arial"/>
                <w:sz w:val="20"/>
                <w:szCs w:val="20"/>
              </w:rPr>
              <w:t>Ist der MAH im Ausland ansässig, informiert die erstinvolvierte Behörde zusätzlich die BOB über den Hinweis auf einen Qualitätsdefekt (→ Nr. 10).</w:t>
            </w:r>
          </w:p>
        </w:tc>
      </w:tr>
      <w:tr w:rsidR="00372FD3" w:rsidRPr="00EB5379" w14:paraId="341BFEEC" w14:textId="77777777" w:rsidTr="00AD5A6D">
        <w:trPr>
          <w:jc w:val="center"/>
        </w:trPr>
        <w:tc>
          <w:tcPr>
            <w:tcW w:w="550" w:type="dxa"/>
            <w:shd w:val="clear" w:color="auto" w:fill="D9D9D9" w:themeFill="background1" w:themeFillShade="D9"/>
          </w:tcPr>
          <w:p w14:paraId="2AAF9918"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lastRenderedPageBreak/>
              <w:t>7</w:t>
            </w:r>
          </w:p>
        </w:tc>
        <w:tc>
          <w:tcPr>
            <w:tcW w:w="1637" w:type="dxa"/>
            <w:shd w:val="clear" w:color="auto" w:fill="D9D9D9" w:themeFill="background1" w:themeFillShade="D9"/>
          </w:tcPr>
          <w:p w14:paraId="2D90F487"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Abgabe an für MAH zuständige LB</w:t>
            </w:r>
          </w:p>
        </w:tc>
        <w:tc>
          <w:tcPr>
            <w:tcW w:w="6885" w:type="dxa"/>
            <w:shd w:val="clear" w:color="auto" w:fill="D9D9D9" w:themeFill="background1" w:themeFillShade="D9"/>
          </w:tcPr>
          <w:p w14:paraId="2D01AB79"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 xml:space="preserve">Erstinvolvierte Behörde gibt den Fall an die für den MAH zuständige Behörde ab, falls zutreffend → </w:t>
            </w:r>
            <w:r w:rsidRPr="00EB5379">
              <w:rPr>
                <w:rFonts w:ascii="Arial" w:hAnsi="Arial" w:cs="Arial"/>
                <w:b/>
                <w:sz w:val="20"/>
                <w:szCs w:val="20"/>
              </w:rPr>
              <w:t>Nr. 7a</w:t>
            </w:r>
          </w:p>
        </w:tc>
      </w:tr>
      <w:tr w:rsidR="00372FD3" w:rsidRPr="00EB5379" w14:paraId="37D54DFB" w14:textId="77777777" w:rsidTr="00AD5A6D">
        <w:trPr>
          <w:jc w:val="center"/>
        </w:trPr>
        <w:tc>
          <w:tcPr>
            <w:tcW w:w="550" w:type="dxa"/>
            <w:shd w:val="clear" w:color="auto" w:fill="D9D9D9" w:themeFill="background1" w:themeFillShade="D9"/>
          </w:tcPr>
          <w:p w14:paraId="310F85E4"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7a</w:t>
            </w:r>
          </w:p>
        </w:tc>
        <w:tc>
          <w:tcPr>
            <w:tcW w:w="1637" w:type="dxa"/>
            <w:shd w:val="clear" w:color="auto" w:fill="D9D9D9" w:themeFill="background1" w:themeFillShade="D9"/>
          </w:tcPr>
          <w:p w14:paraId="3B9053B8"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Klassifizierung der Risikomeldung</w:t>
            </w:r>
          </w:p>
        </w:tc>
        <w:tc>
          <w:tcPr>
            <w:tcW w:w="6885" w:type="dxa"/>
            <w:shd w:val="clear" w:color="auto" w:fill="D9D9D9" w:themeFill="background1" w:themeFillShade="D9"/>
          </w:tcPr>
          <w:p w14:paraId="2AE89628" w14:textId="238E57C0" w:rsidR="00372FD3" w:rsidRPr="00EB5379" w:rsidRDefault="00372FD3" w:rsidP="001A0B61">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Die zuständige Behörde führt eine Klassifizierung der Risikomeldung gemäß Formular 121101_F0</w:t>
            </w:r>
            <w:r w:rsidR="001A0B61" w:rsidRPr="00EB5379">
              <w:rPr>
                <w:rFonts w:ascii="Arial" w:hAnsi="Arial" w:cs="Arial"/>
                <w:sz w:val="20"/>
                <w:szCs w:val="20"/>
              </w:rPr>
              <w:t>6</w:t>
            </w:r>
            <w:r w:rsidRPr="00EB5379">
              <w:rPr>
                <w:rFonts w:ascii="Arial" w:hAnsi="Arial" w:cs="Arial"/>
                <w:sz w:val="20"/>
                <w:szCs w:val="20"/>
              </w:rPr>
              <w:t xml:space="preserve"> nach Kritikalität durch, d. h. </w:t>
            </w:r>
            <w:r w:rsidR="00DB2E06" w:rsidRPr="00EB5379">
              <w:rPr>
                <w:rFonts w:ascii="Arial" w:hAnsi="Arial" w:cs="Arial"/>
                <w:sz w:val="20"/>
                <w:szCs w:val="20"/>
              </w:rPr>
              <w:t xml:space="preserve">Einstufung </w:t>
            </w:r>
            <w:r w:rsidRPr="00EB5379">
              <w:rPr>
                <w:rFonts w:ascii="Arial" w:hAnsi="Arial" w:cs="Arial"/>
                <w:sz w:val="20"/>
                <w:szCs w:val="20"/>
              </w:rPr>
              <w:t>in die Klassen 1-3 oder als ungerechtfertigt.</w:t>
            </w:r>
          </w:p>
        </w:tc>
      </w:tr>
      <w:tr w:rsidR="00372FD3" w:rsidRPr="00EB5379" w14:paraId="0841D1EF" w14:textId="77777777" w:rsidTr="00AD5A6D">
        <w:trPr>
          <w:jc w:val="center"/>
        </w:trPr>
        <w:tc>
          <w:tcPr>
            <w:tcW w:w="550" w:type="dxa"/>
            <w:shd w:val="clear" w:color="auto" w:fill="D9D9D9" w:themeFill="background1" w:themeFillShade="D9"/>
          </w:tcPr>
          <w:p w14:paraId="0D1D5AAC"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7b</w:t>
            </w:r>
          </w:p>
        </w:tc>
        <w:tc>
          <w:tcPr>
            <w:tcW w:w="1637" w:type="dxa"/>
            <w:shd w:val="clear" w:color="auto" w:fill="D9D9D9" w:themeFill="background1" w:themeFillShade="D9"/>
          </w:tcPr>
          <w:p w14:paraId="3A2C2CB6"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Festlegung von Maßnahmen</w:t>
            </w:r>
          </w:p>
        </w:tc>
        <w:tc>
          <w:tcPr>
            <w:tcW w:w="6885" w:type="dxa"/>
            <w:shd w:val="clear" w:color="auto" w:fill="D9D9D9" w:themeFill="background1" w:themeFillShade="D9"/>
          </w:tcPr>
          <w:p w14:paraId="4BBC0CBF" w14:textId="48578B25"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Die zuständige Behörde trifft eine risikobasierte Entscheidung über ggf. zu treffende Maßnahmen</w:t>
            </w:r>
            <w:r w:rsidR="001A0B61" w:rsidRPr="00EB5379">
              <w:rPr>
                <w:rFonts w:ascii="Arial" w:hAnsi="Arial" w:cs="Arial"/>
                <w:sz w:val="20"/>
                <w:szCs w:val="20"/>
              </w:rPr>
              <w:t xml:space="preserve"> (Hilfestellung → Formular 121101_F07)</w:t>
            </w:r>
            <w:r w:rsidRPr="00EB5379">
              <w:rPr>
                <w:rFonts w:ascii="Arial" w:hAnsi="Arial" w:cs="Arial"/>
                <w:sz w:val="20"/>
                <w:szCs w:val="20"/>
              </w:rPr>
              <w:t>.</w:t>
            </w:r>
          </w:p>
        </w:tc>
      </w:tr>
      <w:tr w:rsidR="00372FD3" w:rsidRPr="00EB5379" w14:paraId="5877984A" w14:textId="77777777" w:rsidTr="00AD5A6D">
        <w:trPr>
          <w:trHeight w:val="1074"/>
          <w:jc w:val="center"/>
        </w:trPr>
        <w:tc>
          <w:tcPr>
            <w:tcW w:w="550" w:type="dxa"/>
            <w:shd w:val="clear" w:color="auto" w:fill="D9D9D9" w:themeFill="background1" w:themeFillShade="D9"/>
          </w:tcPr>
          <w:p w14:paraId="601F696E"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8</w:t>
            </w:r>
          </w:p>
        </w:tc>
        <w:tc>
          <w:tcPr>
            <w:tcW w:w="1637" w:type="dxa"/>
            <w:shd w:val="clear" w:color="auto" w:fill="D9D9D9" w:themeFill="background1" w:themeFillShade="D9"/>
          </w:tcPr>
          <w:p w14:paraId="301C963A" w14:textId="7B351199" w:rsidR="00372FD3" w:rsidRPr="00EB5379" w:rsidRDefault="00602292" w:rsidP="000A2655">
            <w:pPr>
              <w:widowControl w:val="0"/>
              <w:rPr>
                <w:rFonts w:ascii="Arial" w:hAnsi="Arial" w:cs="Arial"/>
                <w:sz w:val="20"/>
                <w:szCs w:val="20"/>
              </w:rPr>
            </w:pPr>
            <w:r w:rsidRPr="00EB5379">
              <w:rPr>
                <w:rFonts w:ascii="Arial" w:hAnsi="Arial" w:cs="Arial"/>
                <w:sz w:val="20"/>
                <w:szCs w:val="20"/>
              </w:rPr>
              <w:t>RA</w:t>
            </w:r>
            <w:r w:rsidR="00372FD3" w:rsidRPr="00EB5379">
              <w:rPr>
                <w:rFonts w:ascii="Arial" w:hAnsi="Arial" w:cs="Arial"/>
                <w:sz w:val="20"/>
                <w:szCs w:val="20"/>
              </w:rPr>
              <w:t>?</w:t>
            </w:r>
          </w:p>
          <w:p w14:paraId="53BBECCF" w14:textId="77777777" w:rsidR="00372FD3" w:rsidRPr="00EB5379" w:rsidRDefault="00372FD3" w:rsidP="000A2655">
            <w:pPr>
              <w:widowControl w:val="0"/>
              <w:rPr>
                <w:rFonts w:ascii="Arial" w:hAnsi="Arial" w:cs="Arial"/>
                <w:sz w:val="20"/>
                <w:szCs w:val="20"/>
              </w:rPr>
            </w:pPr>
          </w:p>
        </w:tc>
        <w:tc>
          <w:tcPr>
            <w:tcW w:w="6885" w:type="dxa"/>
            <w:shd w:val="clear" w:color="auto" w:fill="D9D9D9" w:themeFill="background1" w:themeFillShade="D9"/>
          </w:tcPr>
          <w:p w14:paraId="6B78B4D0" w14:textId="743DCB5F" w:rsidR="00372FD3" w:rsidRPr="00EB5379" w:rsidRDefault="00372FD3" w:rsidP="00AB1AD4">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Falls die zuständige Behörde als Maßnahme einen </w:t>
            </w:r>
            <w:r w:rsidR="00602292" w:rsidRPr="00EB5379">
              <w:rPr>
                <w:rFonts w:ascii="Arial" w:hAnsi="Arial" w:cs="Arial"/>
                <w:sz w:val="20"/>
                <w:szCs w:val="20"/>
              </w:rPr>
              <w:t>Rückruf</w:t>
            </w:r>
            <w:r w:rsidR="00D16EA9" w:rsidRPr="00EB5379">
              <w:rPr>
                <w:rFonts w:ascii="Arial" w:hAnsi="Arial" w:cs="Arial"/>
                <w:sz w:val="20"/>
                <w:szCs w:val="20"/>
              </w:rPr>
              <w:t xml:space="preserve"> </w:t>
            </w:r>
            <w:r w:rsidR="00602292" w:rsidRPr="00EB5379">
              <w:rPr>
                <w:rFonts w:ascii="Arial" w:hAnsi="Arial" w:cs="Arial"/>
                <w:sz w:val="20"/>
                <w:szCs w:val="20"/>
              </w:rPr>
              <w:t xml:space="preserve">oder </w:t>
            </w:r>
            <w:r w:rsidRPr="00EB5379">
              <w:rPr>
                <w:rFonts w:ascii="Arial" w:hAnsi="Arial" w:cs="Arial"/>
                <w:sz w:val="20"/>
                <w:szCs w:val="20"/>
              </w:rPr>
              <w:t>ein</w:t>
            </w:r>
            <w:r w:rsidR="00602292" w:rsidRPr="00EB5379">
              <w:rPr>
                <w:rFonts w:ascii="Arial" w:hAnsi="Arial" w:cs="Arial"/>
                <w:sz w:val="20"/>
                <w:szCs w:val="20"/>
              </w:rPr>
              <w:t>en</w:t>
            </w:r>
            <w:r w:rsidRPr="00EB5379">
              <w:rPr>
                <w:rFonts w:ascii="Arial" w:hAnsi="Arial" w:cs="Arial"/>
                <w:sz w:val="20"/>
                <w:szCs w:val="20"/>
              </w:rPr>
              <w:t xml:space="preserve"> Rapid Alert</w:t>
            </w:r>
            <w:r w:rsidR="00602292" w:rsidRPr="00EB5379">
              <w:rPr>
                <w:rFonts w:ascii="Arial" w:hAnsi="Arial" w:cs="Arial"/>
                <w:sz w:val="20"/>
                <w:szCs w:val="20"/>
              </w:rPr>
              <w:t xml:space="preserve"> (± Rückruf)</w:t>
            </w:r>
            <w:r w:rsidRPr="00EB5379">
              <w:rPr>
                <w:rFonts w:ascii="Arial" w:hAnsi="Arial" w:cs="Arial"/>
                <w:sz w:val="20"/>
                <w:szCs w:val="20"/>
              </w:rPr>
              <w:t xml:space="preserve"> als erforderlich ansieht, führt diese eine Klassifizierung des Rückrufs bzw. Rapid Alert gemäß Formular 121101_F0</w:t>
            </w:r>
            <w:r w:rsidR="001A0B61" w:rsidRPr="00EB5379">
              <w:rPr>
                <w:rFonts w:ascii="Arial" w:hAnsi="Arial" w:cs="Arial"/>
                <w:sz w:val="20"/>
                <w:szCs w:val="20"/>
              </w:rPr>
              <w:t>8</w:t>
            </w:r>
            <w:r w:rsidRPr="00EB5379">
              <w:rPr>
                <w:rFonts w:ascii="Arial" w:hAnsi="Arial" w:cs="Arial"/>
                <w:sz w:val="20"/>
                <w:szCs w:val="20"/>
              </w:rPr>
              <w:t xml:space="preserve"> durch.</w:t>
            </w:r>
          </w:p>
          <w:p w14:paraId="10BD73D2" w14:textId="77777777" w:rsidR="00372FD3" w:rsidRPr="00EB5379" w:rsidRDefault="00372FD3" w:rsidP="000A2655">
            <w:pPr>
              <w:pStyle w:val="Listenabsatz"/>
              <w:widowControl w:val="0"/>
              <w:spacing w:before="60"/>
              <w:ind w:left="170"/>
              <w:contextualSpacing w:val="0"/>
              <w:rPr>
                <w:rFonts w:ascii="Arial" w:hAnsi="Arial" w:cs="Arial"/>
                <w:b/>
                <w:sz w:val="20"/>
                <w:szCs w:val="20"/>
              </w:rPr>
            </w:pPr>
            <w:r w:rsidRPr="00EB5379">
              <w:rPr>
                <w:rFonts w:ascii="Arial" w:hAnsi="Arial" w:cs="Arial"/>
                <w:sz w:val="20"/>
                <w:szCs w:val="20"/>
              </w:rPr>
              <w:t xml:space="preserve">Falls Ergebnis Rapid Alert bzw. Rückruf der Klasse I/II → </w:t>
            </w:r>
            <w:r w:rsidRPr="00EB5379">
              <w:rPr>
                <w:rFonts w:ascii="Arial" w:hAnsi="Arial" w:cs="Arial"/>
                <w:b/>
                <w:sz w:val="20"/>
                <w:szCs w:val="20"/>
              </w:rPr>
              <w:t>Nr. 8a</w:t>
            </w:r>
          </w:p>
          <w:p w14:paraId="4F10F443" w14:textId="77777777" w:rsidR="00372FD3" w:rsidRPr="00EB5379" w:rsidRDefault="00372FD3" w:rsidP="000A2655">
            <w:pPr>
              <w:pStyle w:val="Listenabsatz"/>
              <w:widowControl w:val="0"/>
              <w:spacing w:before="60"/>
              <w:ind w:left="170"/>
              <w:rPr>
                <w:rFonts w:ascii="Arial" w:hAnsi="Arial" w:cs="Arial"/>
                <w:sz w:val="20"/>
                <w:szCs w:val="20"/>
              </w:rPr>
            </w:pPr>
            <w:r w:rsidRPr="00EB5379">
              <w:rPr>
                <w:rFonts w:ascii="Arial" w:hAnsi="Arial" w:cs="Arial"/>
                <w:sz w:val="20"/>
                <w:szCs w:val="20"/>
              </w:rPr>
              <w:t xml:space="preserve">Alle anderen Fälle → </w:t>
            </w:r>
            <w:r w:rsidRPr="00EB5379">
              <w:rPr>
                <w:rFonts w:ascii="Arial" w:hAnsi="Arial" w:cs="Arial"/>
                <w:b/>
                <w:sz w:val="20"/>
                <w:szCs w:val="20"/>
              </w:rPr>
              <w:t>Nr. 5</w:t>
            </w:r>
          </w:p>
        </w:tc>
      </w:tr>
      <w:tr w:rsidR="00372FD3" w:rsidRPr="00EB5379" w14:paraId="34B62DA1" w14:textId="77777777" w:rsidTr="00AD5A6D">
        <w:trPr>
          <w:jc w:val="center"/>
        </w:trPr>
        <w:tc>
          <w:tcPr>
            <w:tcW w:w="550" w:type="dxa"/>
            <w:shd w:val="clear" w:color="auto" w:fill="auto"/>
          </w:tcPr>
          <w:p w14:paraId="7F1A2293"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8a</w:t>
            </w:r>
          </w:p>
        </w:tc>
        <w:tc>
          <w:tcPr>
            <w:tcW w:w="1637" w:type="dxa"/>
            <w:shd w:val="clear" w:color="auto" w:fill="auto"/>
          </w:tcPr>
          <w:p w14:paraId="28AD5D7C"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RAN (I/II)</w:t>
            </w:r>
          </w:p>
        </w:tc>
        <w:tc>
          <w:tcPr>
            <w:tcW w:w="6885" w:type="dxa"/>
            <w:shd w:val="clear" w:color="auto" w:fill="auto"/>
          </w:tcPr>
          <w:p w14:paraId="1DE83019"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 xml:space="preserve">von </w:t>
            </w:r>
            <w:r w:rsidRPr="00EB5379">
              <w:rPr>
                <w:rFonts w:ascii="Arial" w:hAnsi="Arial" w:cs="Arial"/>
                <w:b/>
                <w:sz w:val="20"/>
                <w:szCs w:val="20"/>
              </w:rPr>
              <w:t>Nr. 7</w:t>
            </w:r>
            <w:r w:rsidRPr="00EB5379">
              <w:rPr>
                <w:rFonts w:ascii="Arial" w:hAnsi="Arial" w:cs="Arial"/>
                <w:sz w:val="20"/>
                <w:szCs w:val="20"/>
              </w:rPr>
              <w:t xml:space="preserve"> aus: Für MAH in DE zuständige LB erstellt die RAN</w:t>
            </w:r>
          </w:p>
          <w:p w14:paraId="6F89DE96"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von </w:t>
            </w:r>
            <w:r w:rsidRPr="00EB5379">
              <w:rPr>
                <w:rFonts w:ascii="Arial" w:hAnsi="Arial" w:cs="Arial"/>
                <w:b/>
                <w:sz w:val="20"/>
                <w:szCs w:val="20"/>
              </w:rPr>
              <w:t>Nr. 9</w:t>
            </w:r>
            <w:r w:rsidRPr="00EB5379">
              <w:rPr>
                <w:rFonts w:ascii="Arial" w:hAnsi="Arial" w:cs="Arial"/>
                <w:sz w:val="20"/>
                <w:szCs w:val="20"/>
              </w:rPr>
              <w:t xml:space="preserve"> aus: Erstinvolvierte Behörde (in DE) erstellt RAN</w:t>
            </w:r>
          </w:p>
          <w:p w14:paraId="172D007A"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Ausstellen des RAN-Formulars der Risikoklasse I oder II in englischer Sprache</w:t>
            </w:r>
          </w:p>
          <w:p w14:paraId="34781606"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Es ist auszuführen, inwieweit ein Rückruf Bestandteil des Maßnahmenkataloges ist.</w:t>
            </w:r>
          </w:p>
          <w:p w14:paraId="7DF1A584"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Es kann vorkommen, dass nicht alle im RAN-Formular anzugebenden Informationen zum Zeitpunkt des Ausstellens der Meldung vorliegen – dies steht der Erstellung und Weiterleitung der Rapid-Alert Meldung nicht entgegen. Fehlende Informationen können zu einem späteren Zeitpunkt in Form einer Follow-</w:t>
            </w:r>
            <w:proofErr w:type="spellStart"/>
            <w:r w:rsidRPr="00EB5379">
              <w:rPr>
                <w:rFonts w:ascii="Arial" w:hAnsi="Arial" w:cs="Arial"/>
                <w:sz w:val="20"/>
                <w:szCs w:val="20"/>
              </w:rPr>
              <w:t>up</w:t>
            </w:r>
            <w:proofErr w:type="spellEnd"/>
            <w:r w:rsidRPr="00EB5379">
              <w:rPr>
                <w:rFonts w:ascii="Arial" w:hAnsi="Arial" w:cs="Arial"/>
                <w:sz w:val="20"/>
                <w:szCs w:val="20"/>
              </w:rPr>
              <w:t xml:space="preserve"> Meldung zu diesem Fall nachgereicht werden.</w:t>
            </w:r>
          </w:p>
          <w:p w14:paraId="3A67A1C7" w14:textId="0220FBA0"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Die „Reference </w:t>
            </w:r>
            <w:proofErr w:type="spellStart"/>
            <w:r w:rsidRPr="00EB5379">
              <w:rPr>
                <w:rFonts w:ascii="Arial" w:hAnsi="Arial" w:cs="Arial"/>
                <w:sz w:val="20"/>
                <w:szCs w:val="20"/>
              </w:rPr>
              <w:t>Number</w:t>
            </w:r>
            <w:proofErr w:type="spellEnd"/>
            <w:r w:rsidRPr="00EB5379">
              <w:rPr>
                <w:rFonts w:ascii="Arial" w:hAnsi="Arial" w:cs="Arial"/>
                <w:sz w:val="20"/>
                <w:szCs w:val="20"/>
              </w:rPr>
              <w:t>“ (Feld 1 im RAN-F</w:t>
            </w:r>
            <w:r w:rsidR="00AF7B19">
              <w:rPr>
                <w:rFonts w:ascii="Arial" w:hAnsi="Arial" w:cs="Arial"/>
                <w:sz w:val="20"/>
                <w:szCs w:val="20"/>
              </w:rPr>
              <w:t>ormular bzw. NUI-Formular)</w:t>
            </w:r>
            <w:r w:rsidRPr="00EB5379">
              <w:rPr>
                <w:rFonts w:ascii="Arial" w:hAnsi="Arial" w:cs="Arial"/>
                <w:sz w:val="20"/>
                <w:szCs w:val="20"/>
              </w:rPr>
              <w:t xml:space="preserve"> ist bei jeder weiteren Kommunikation anzugeben.</w:t>
            </w:r>
          </w:p>
        </w:tc>
      </w:tr>
      <w:tr w:rsidR="00372FD3" w:rsidRPr="00EB5379" w14:paraId="0E24321B" w14:textId="77777777" w:rsidTr="00AD5A6D">
        <w:trPr>
          <w:jc w:val="center"/>
        </w:trPr>
        <w:tc>
          <w:tcPr>
            <w:tcW w:w="550" w:type="dxa"/>
            <w:shd w:val="clear" w:color="auto" w:fill="auto"/>
          </w:tcPr>
          <w:p w14:paraId="4C014743"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8b</w:t>
            </w:r>
          </w:p>
        </w:tc>
        <w:tc>
          <w:tcPr>
            <w:tcW w:w="1637" w:type="dxa"/>
            <w:shd w:val="clear" w:color="auto" w:fill="auto"/>
          </w:tcPr>
          <w:p w14:paraId="6817C402"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 xml:space="preserve">Kommunikation über RAS-Verteiler </w:t>
            </w:r>
            <w:r w:rsidRPr="00EB5379">
              <w:rPr>
                <w:rFonts w:ascii="Arial" w:hAnsi="Arial" w:cs="Arial"/>
                <w:i/>
                <w:sz w:val="20"/>
                <w:szCs w:val="20"/>
              </w:rPr>
              <w:t>(auf dem Dienstweg)</w:t>
            </w:r>
          </w:p>
        </w:tc>
        <w:tc>
          <w:tcPr>
            <w:tcW w:w="6885" w:type="dxa"/>
            <w:shd w:val="clear" w:color="auto" w:fill="auto"/>
          </w:tcPr>
          <w:p w14:paraId="72C7656D" w14:textId="77777777" w:rsidR="00372FD3" w:rsidRPr="00D97F7D" w:rsidRDefault="00372FD3" w:rsidP="00372FD3">
            <w:pPr>
              <w:pStyle w:val="Listenabsatz"/>
              <w:widowControl w:val="0"/>
              <w:numPr>
                <w:ilvl w:val="0"/>
                <w:numId w:val="13"/>
              </w:numPr>
              <w:ind w:left="170" w:hanging="170"/>
              <w:contextualSpacing w:val="0"/>
              <w:rPr>
                <w:rFonts w:ascii="Arial" w:hAnsi="Arial" w:cs="Arial"/>
                <w:sz w:val="20"/>
                <w:szCs w:val="20"/>
              </w:rPr>
            </w:pPr>
            <w:r w:rsidRPr="00D97F7D">
              <w:rPr>
                <w:rFonts w:ascii="Arial" w:hAnsi="Arial" w:cs="Arial"/>
                <w:sz w:val="20"/>
                <w:szCs w:val="20"/>
              </w:rPr>
              <w:t>Unverzügliche Verteilung/Weiterleitung der RAN an alle Behörden/Stellen in DE</w:t>
            </w:r>
          </w:p>
          <w:p w14:paraId="668B0B98" w14:textId="4EC12C63" w:rsidR="00372FD3" w:rsidRPr="00D97F7D" w:rsidRDefault="001F3280" w:rsidP="00372FD3">
            <w:pPr>
              <w:pStyle w:val="Listenabsatz"/>
              <w:widowControl w:val="0"/>
              <w:numPr>
                <w:ilvl w:val="0"/>
                <w:numId w:val="13"/>
              </w:numPr>
              <w:spacing w:before="60"/>
              <w:ind w:left="170" w:hanging="170"/>
              <w:contextualSpacing w:val="0"/>
              <w:rPr>
                <w:rFonts w:ascii="Arial" w:hAnsi="Arial" w:cs="Arial"/>
                <w:sz w:val="20"/>
                <w:szCs w:val="20"/>
              </w:rPr>
            </w:pPr>
            <w:r w:rsidRPr="00D97F7D">
              <w:rPr>
                <w:rFonts w:ascii="Arial" w:hAnsi="Arial" w:cs="Arial"/>
                <w:sz w:val="20"/>
                <w:szCs w:val="20"/>
              </w:rPr>
              <w:t>Kommunikation über RAS-Verteiler gemäß BfArM-Homepage für Humanarzneimittel (</w:t>
            </w:r>
            <w:hyperlink r:id="rId13" w:history="1">
              <w:r w:rsidRPr="00D97F7D">
                <w:rPr>
                  <w:rStyle w:val="Hyperlink"/>
                  <w:rFonts w:ascii="Arial" w:hAnsi="Arial" w:cs="Arial"/>
                  <w:sz w:val="20"/>
                  <w:szCs w:val="20"/>
                </w:rPr>
                <w:t>http://www2.bfarm.de/phvig/rapalert/index.php</w:t>
              </w:r>
            </w:hyperlink>
            <w:r w:rsidRPr="00D97F7D">
              <w:rPr>
                <w:rFonts w:ascii="Arial" w:hAnsi="Arial" w:cs="Arial"/>
                <w:sz w:val="20"/>
                <w:szCs w:val="20"/>
              </w:rPr>
              <w:t>) bzw. BVL-Homepage für Tierarzneimittel (</w:t>
            </w:r>
            <w:hyperlink r:id="rId14" w:history="1">
              <w:r w:rsidRPr="00D97F7D">
                <w:rPr>
                  <w:rStyle w:val="Hyperlink"/>
                  <w:rFonts w:ascii="Arial" w:hAnsi="Arial" w:cs="Arial"/>
                  <w:sz w:val="20"/>
                  <w:szCs w:val="20"/>
                </w:rPr>
                <w:t>https://www.bvl.bund.de/DE/05_Tierarzneimittel/01_Aufgaben/04_UeberwachungBetreuung/03_Risikokommunikation/Verteilerliste/Email-Verteiler.html?nn=1622848</w:t>
              </w:r>
            </w:hyperlink>
            <w:r w:rsidR="00153768">
              <w:rPr>
                <w:rFonts w:ascii="Arial" w:hAnsi="Arial" w:cs="Arial"/>
                <w:sz w:val="20"/>
                <w:szCs w:val="20"/>
              </w:rPr>
              <w:t xml:space="preserve">); </w:t>
            </w:r>
            <w:r w:rsidR="00372FD3" w:rsidRPr="00D97F7D">
              <w:rPr>
                <w:rFonts w:ascii="Arial" w:hAnsi="Arial" w:cs="Arial"/>
                <w:sz w:val="20"/>
                <w:szCs w:val="20"/>
              </w:rPr>
              <w:t>(alle Kontakte im Verteiler)</w:t>
            </w:r>
          </w:p>
          <w:p w14:paraId="7F48AFF0" w14:textId="7D514570" w:rsidR="00372FD3" w:rsidRPr="00D97F7D"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D97F7D">
              <w:rPr>
                <w:rFonts w:ascii="Arial" w:hAnsi="Arial" w:cs="Arial"/>
                <w:sz w:val="20"/>
                <w:szCs w:val="20"/>
              </w:rPr>
              <w:t xml:space="preserve">RAS II-Fälle aus dem Ausland werden nur an die Länder (gemäß </w:t>
            </w:r>
            <w:proofErr w:type="spellStart"/>
            <w:r w:rsidR="0074776F" w:rsidRPr="00D97F7D">
              <w:rPr>
                <w:rFonts w:ascii="Arial" w:hAnsi="Arial" w:cs="Arial"/>
                <w:sz w:val="20"/>
                <w:szCs w:val="20"/>
              </w:rPr>
              <w:lastRenderedPageBreak/>
              <w:t>AmAnDa</w:t>
            </w:r>
            <w:proofErr w:type="spellEnd"/>
            <w:r w:rsidRPr="00D97F7D">
              <w:rPr>
                <w:rFonts w:ascii="Arial" w:hAnsi="Arial" w:cs="Arial"/>
                <w:sz w:val="20"/>
                <w:szCs w:val="20"/>
              </w:rPr>
              <w:t>-Eintragung) verteilt, in denen Zulassungsinhaber der betreffenden Arzneimittel ihren Sitz haben.</w:t>
            </w:r>
          </w:p>
          <w:p w14:paraId="229295B5" w14:textId="77777777" w:rsidR="00372FD3" w:rsidRPr="00D97F7D"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D97F7D">
              <w:rPr>
                <w:rFonts w:ascii="Arial" w:hAnsi="Arial" w:cs="Arial"/>
                <w:sz w:val="20"/>
                <w:szCs w:val="20"/>
              </w:rPr>
              <w:t>RAS II-Fälle zur Kommunikation außerhalb DEs werden nur an die betroffenen EU-Staaten verteilt.</w:t>
            </w:r>
          </w:p>
          <w:p w14:paraId="6C85FC9F" w14:textId="77777777" w:rsidR="00372FD3" w:rsidRPr="00D97F7D"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D97F7D">
              <w:rPr>
                <w:rFonts w:ascii="Arial" w:hAnsi="Arial" w:cs="Arial"/>
                <w:sz w:val="20"/>
                <w:szCs w:val="20"/>
              </w:rPr>
              <w:t xml:space="preserve">Erstinvolvierte Behörde = LB: Weiterleitung an BOBs über den RAS-Verteiler, ggf. über die OLB </w:t>
            </w:r>
            <w:r w:rsidRPr="00D97F7D">
              <w:rPr>
                <w:rFonts w:ascii="Arial" w:hAnsi="Arial" w:cs="Arial"/>
                <w:i/>
                <w:color w:val="FF0000"/>
                <w:sz w:val="20"/>
                <w:szCs w:val="20"/>
              </w:rPr>
              <w:t>[Anmerkung: Länderregelung beachten]</w:t>
            </w:r>
          </w:p>
          <w:p w14:paraId="6B393E9E" w14:textId="77777777" w:rsidR="00372FD3" w:rsidRPr="00D97F7D"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D97F7D">
              <w:rPr>
                <w:rFonts w:ascii="Arial" w:hAnsi="Arial" w:cs="Arial"/>
                <w:sz w:val="20"/>
                <w:szCs w:val="20"/>
              </w:rPr>
              <w:t>Erstinvolvierte Behörde = BOB: Weiterleitung an LBs über den RAS-Verteiler</w:t>
            </w:r>
          </w:p>
        </w:tc>
      </w:tr>
      <w:tr w:rsidR="00372FD3" w:rsidRPr="00EB5379" w14:paraId="16146FD1" w14:textId="77777777" w:rsidTr="00AD5A6D">
        <w:trPr>
          <w:jc w:val="center"/>
        </w:trPr>
        <w:tc>
          <w:tcPr>
            <w:tcW w:w="550" w:type="dxa"/>
            <w:shd w:val="clear" w:color="auto" w:fill="auto"/>
          </w:tcPr>
          <w:p w14:paraId="1DA2EF48"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lastRenderedPageBreak/>
              <w:t>8c</w:t>
            </w:r>
          </w:p>
        </w:tc>
        <w:tc>
          <w:tcPr>
            <w:tcW w:w="1637" w:type="dxa"/>
            <w:shd w:val="clear" w:color="auto" w:fill="auto"/>
          </w:tcPr>
          <w:p w14:paraId="0EC25CD9"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BOBs</w:t>
            </w:r>
          </w:p>
        </w:tc>
        <w:tc>
          <w:tcPr>
            <w:tcW w:w="6885" w:type="dxa"/>
            <w:shd w:val="clear" w:color="auto" w:fill="auto"/>
          </w:tcPr>
          <w:p w14:paraId="5170B371"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Die betroffene BOB bewertet den Fall im Rahmen der gesetzlich festgelegten Zuständigkeiten. Sie prüft dementsprechend eigene Maßnahmen in ihrem Zuständigkeitsbereich.</w:t>
            </w:r>
          </w:p>
          <w:p w14:paraId="6BA0E23F" w14:textId="384A2D49"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Bei Rückrufen informieren ggf. die BOBs die Öffentlichkeit auf ihren Internetseiten. Die Fachöffentlichkeit wird ggf. durch die BOBs über Veröffentlichungen in der entsprechenden Fachpresse (z. B. PZ, DAZ) informiert</w:t>
            </w:r>
            <w:r w:rsidR="00B1395E">
              <w:rPr>
                <w:rFonts w:ascii="Arial" w:hAnsi="Arial" w:cs="Arial"/>
                <w:sz w:val="20"/>
                <w:szCs w:val="20"/>
              </w:rPr>
              <w:t>.</w:t>
            </w:r>
          </w:p>
        </w:tc>
      </w:tr>
      <w:tr w:rsidR="00372FD3" w:rsidRPr="00EB5379" w14:paraId="71499466" w14:textId="77777777" w:rsidTr="00AD5A6D">
        <w:trPr>
          <w:jc w:val="center"/>
        </w:trPr>
        <w:tc>
          <w:tcPr>
            <w:tcW w:w="550" w:type="dxa"/>
            <w:shd w:val="clear" w:color="auto" w:fill="auto"/>
          </w:tcPr>
          <w:p w14:paraId="2912722E" w14:textId="77777777" w:rsidR="00372FD3" w:rsidRPr="00EB5379" w:rsidRDefault="00372FD3" w:rsidP="000A2655">
            <w:pPr>
              <w:keepNext/>
              <w:widowControl w:val="0"/>
              <w:spacing w:before="40" w:after="40"/>
              <w:outlineLvl w:val="0"/>
              <w:rPr>
                <w:rFonts w:ascii="Arial" w:hAnsi="Arial" w:cs="Arial"/>
                <w:b/>
                <w:sz w:val="20"/>
                <w:szCs w:val="20"/>
              </w:rPr>
            </w:pPr>
            <w:r w:rsidRPr="00EB5379">
              <w:rPr>
                <w:rFonts w:ascii="Arial" w:hAnsi="Arial" w:cs="Arial"/>
                <w:b/>
                <w:sz w:val="20"/>
                <w:szCs w:val="20"/>
              </w:rPr>
              <w:t>8d</w:t>
            </w:r>
          </w:p>
        </w:tc>
        <w:tc>
          <w:tcPr>
            <w:tcW w:w="1637" w:type="dxa"/>
            <w:shd w:val="clear" w:color="auto" w:fill="auto"/>
          </w:tcPr>
          <w:p w14:paraId="43B30C9A" w14:textId="77777777" w:rsidR="00372FD3" w:rsidRPr="00EB5379" w:rsidRDefault="00372FD3" w:rsidP="000A2655">
            <w:pPr>
              <w:keepNext/>
              <w:widowControl w:val="0"/>
              <w:spacing w:before="40" w:after="40"/>
              <w:outlineLvl w:val="0"/>
              <w:rPr>
                <w:rFonts w:ascii="Arial" w:hAnsi="Arial" w:cs="Arial"/>
                <w:sz w:val="20"/>
                <w:szCs w:val="20"/>
              </w:rPr>
            </w:pPr>
            <w:r w:rsidRPr="00EB5379">
              <w:rPr>
                <w:rFonts w:ascii="Arial" w:hAnsi="Arial" w:cs="Arial"/>
                <w:sz w:val="20"/>
                <w:szCs w:val="20"/>
              </w:rPr>
              <w:t>Info EU-/</w:t>
            </w:r>
            <w:proofErr w:type="spellStart"/>
            <w:r w:rsidRPr="00EB5379">
              <w:rPr>
                <w:rFonts w:ascii="Arial" w:hAnsi="Arial" w:cs="Arial"/>
                <w:sz w:val="20"/>
                <w:szCs w:val="20"/>
              </w:rPr>
              <w:t>RoW</w:t>
            </w:r>
            <w:proofErr w:type="spellEnd"/>
            <w:r w:rsidRPr="00EB5379">
              <w:rPr>
                <w:rFonts w:ascii="Arial" w:hAnsi="Arial" w:cs="Arial"/>
                <w:sz w:val="20"/>
                <w:szCs w:val="20"/>
              </w:rPr>
              <w:t xml:space="preserve">-Behörden/ </w:t>
            </w:r>
          </w:p>
          <w:p w14:paraId="46F74B22" w14:textId="77777777" w:rsidR="00372FD3" w:rsidRPr="00EB5379" w:rsidRDefault="00372FD3" w:rsidP="000A2655">
            <w:pPr>
              <w:keepNext/>
              <w:widowControl w:val="0"/>
              <w:spacing w:before="40" w:after="40"/>
              <w:outlineLvl w:val="0"/>
              <w:rPr>
                <w:rFonts w:ascii="Arial" w:hAnsi="Arial" w:cs="Arial"/>
                <w:sz w:val="20"/>
                <w:szCs w:val="20"/>
              </w:rPr>
            </w:pPr>
            <w:r w:rsidRPr="00EB5379">
              <w:rPr>
                <w:rFonts w:ascii="Arial" w:hAnsi="Arial" w:cs="Arial"/>
                <w:sz w:val="20"/>
                <w:szCs w:val="20"/>
              </w:rPr>
              <w:t>-Stellen</w:t>
            </w:r>
          </w:p>
        </w:tc>
        <w:tc>
          <w:tcPr>
            <w:tcW w:w="6885" w:type="dxa"/>
            <w:shd w:val="clear" w:color="auto" w:fill="auto"/>
          </w:tcPr>
          <w:p w14:paraId="180A335E" w14:textId="288BC06E"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 xml:space="preserve">Die RAN und ggf. eigene Erkenntnisse und Maßnahmen werden durch die zuständige BOB an die EMA, den RAS-Verteiler der EU-MS, die internationalen Kontakte sowie an BMG bzw. BMEL (sofern Tierarzneimittel </w:t>
            </w:r>
            <w:r w:rsidR="0048372C" w:rsidRPr="00EB5379">
              <w:rPr>
                <w:rFonts w:ascii="Arial" w:hAnsi="Arial" w:cs="Arial"/>
                <w:sz w:val="20"/>
                <w:szCs w:val="20"/>
              </w:rPr>
              <w:t xml:space="preserve">einschließlich der </w:t>
            </w:r>
            <w:r w:rsidRPr="00EB5379">
              <w:rPr>
                <w:rFonts w:ascii="Arial" w:hAnsi="Arial" w:cs="Arial"/>
                <w:sz w:val="20"/>
                <w:szCs w:val="20"/>
              </w:rPr>
              <w:t>Tierimpfstoffe betroffen sind) weitergegeben</w:t>
            </w:r>
            <w:r w:rsidR="00B1395E">
              <w:rPr>
                <w:rFonts w:ascii="Arial" w:hAnsi="Arial" w:cs="Arial"/>
                <w:sz w:val="20"/>
                <w:szCs w:val="20"/>
              </w:rPr>
              <w:t>.</w:t>
            </w:r>
          </w:p>
          <w:p w14:paraId="5A6152B9" w14:textId="77777777" w:rsidR="00372FD3" w:rsidRPr="00EB5379" w:rsidRDefault="00372FD3" w:rsidP="000A2655">
            <w:pPr>
              <w:pStyle w:val="Listenabsatz"/>
              <w:widowControl w:val="0"/>
              <w:spacing w:before="60"/>
              <w:ind w:left="170"/>
              <w:contextualSpacing w:val="0"/>
              <w:rPr>
                <w:rFonts w:ascii="Arial" w:hAnsi="Arial" w:cs="Arial"/>
                <w:i/>
                <w:sz w:val="20"/>
                <w:szCs w:val="20"/>
              </w:rPr>
            </w:pPr>
            <w:r w:rsidRPr="00EB5379">
              <w:rPr>
                <w:rFonts w:ascii="Arial" w:hAnsi="Arial" w:cs="Arial"/>
                <w:i/>
                <w:color w:val="FF0000"/>
                <w:sz w:val="20"/>
                <w:szCs w:val="20"/>
              </w:rPr>
              <w:t>[Anmerkung: vgl. Kap. 7.5 der Allgemeinen Verwaltungsvorschrift zur Beobachtung, Sammlung und Auswertung von Arzneimittelrisiken (Stufenplan) nach § 63 des Arzneimittelgesetzes]</w:t>
            </w:r>
          </w:p>
          <w:p w14:paraId="62AF582D" w14:textId="701092A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Es wird empfohlen, dass in Fällen zentral zugelassener </w:t>
            </w:r>
            <w:r w:rsidR="003D5AD9">
              <w:rPr>
                <w:rFonts w:ascii="Arial" w:hAnsi="Arial" w:cs="Arial"/>
                <w:sz w:val="20"/>
                <w:szCs w:val="20"/>
              </w:rPr>
              <w:t>Arzneimittel</w:t>
            </w:r>
            <w:r w:rsidRPr="00EB5379">
              <w:rPr>
                <w:rFonts w:ascii="Arial" w:hAnsi="Arial" w:cs="Arial"/>
                <w:sz w:val="20"/>
                <w:szCs w:val="20"/>
              </w:rPr>
              <w:t xml:space="preserve">, bei denen MAH und/oder Parallelvertreiber nicht in DE angesiedelt sind, </w:t>
            </w:r>
            <w:r w:rsidRPr="00EB5379">
              <w:rPr>
                <w:rFonts w:ascii="Arial" w:hAnsi="Arial" w:cs="Arial"/>
                <w:sz w:val="20"/>
                <w:szCs w:val="20"/>
                <w:u w:color="FF0000"/>
              </w:rPr>
              <w:t xml:space="preserve">aber einen </w:t>
            </w:r>
            <w:r w:rsidRPr="00EB5379">
              <w:rPr>
                <w:rFonts w:ascii="Arial" w:hAnsi="Arial" w:cs="Arial"/>
                <w:sz w:val="20"/>
                <w:szCs w:val="20"/>
              </w:rPr>
              <w:t>örtlichen</w:t>
            </w:r>
            <w:r w:rsidRPr="00EB5379">
              <w:rPr>
                <w:rFonts w:ascii="Arial" w:hAnsi="Arial" w:cs="Arial"/>
                <w:sz w:val="20"/>
                <w:szCs w:val="20"/>
                <w:u w:color="FF0000"/>
              </w:rPr>
              <w:t xml:space="preserve"> Vertreter in DE haben, dieser durch die BOBs nachrichtlich informiert wird</w:t>
            </w:r>
            <w:r w:rsidR="00B1395E">
              <w:rPr>
                <w:rFonts w:ascii="Arial" w:hAnsi="Arial" w:cs="Arial"/>
                <w:sz w:val="20"/>
                <w:szCs w:val="20"/>
                <w:u w:color="FF0000"/>
              </w:rPr>
              <w:t>.</w:t>
            </w:r>
          </w:p>
          <w:p w14:paraId="7BD68F6F" w14:textId="0016647A"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Rückmeldungen internationaler Stellen sind von BOBs – nach Auswertung in Bezug auf die eigene Zuständigkeit und ggf. Abklärung von Anfragen </w:t>
            </w:r>
            <w:r w:rsidR="00645E95" w:rsidRPr="00EB5379">
              <w:rPr>
                <w:rFonts w:ascii="Arial" w:hAnsi="Arial" w:cs="Arial"/>
                <w:sz w:val="20"/>
                <w:szCs w:val="20"/>
              </w:rPr>
              <w:t>–</w:t>
            </w:r>
            <w:r w:rsidRPr="00EB5379">
              <w:rPr>
                <w:rFonts w:ascii="Arial" w:hAnsi="Arial" w:cs="Arial"/>
                <w:sz w:val="20"/>
                <w:szCs w:val="20"/>
              </w:rPr>
              <w:t xml:space="preserve"> entsprechend an die LBs weiterzugeben → </w:t>
            </w:r>
            <w:r w:rsidRPr="00EB5379">
              <w:rPr>
                <w:rFonts w:ascii="Arial" w:hAnsi="Arial" w:cs="Arial"/>
                <w:b/>
                <w:sz w:val="20"/>
                <w:szCs w:val="20"/>
              </w:rPr>
              <w:t>Nr. 13</w:t>
            </w:r>
          </w:p>
        </w:tc>
      </w:tr>
      <w:tr w:rsidR="00372FD3" w:rsidRPr="00EB5379" w14:paraId="765AEB97" w14:textId="77777777" w:rsidTr="00AD5A6D">
        <w:trPr>
          <w:jc w:val="center"/>
        </w:trPr>
        <w:tc>
          <w:tcPr>
            <w:tcW w:w="550" w:type="dxa"/>
            <w:shd w:val="clear" w:color="auto" w:fill="D9D9D9" w:themeFill="background1" w:themeFillShade="D9"/>
          </w:tcPr>
          <w:p w14:paraId="2ECF0FA8"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9</w:t>
            </w:r>
          </w:p>
        </w:tc>
        <w:tc>
          <w:tcPr>
            <w:tcW w:w="1637" w:type="dxa"/>
            <w:shd w:val="clear" w:color="auto" w:fill="D9D9D9" w:themeFill="background1" w:themeFillShade="D9"/>
          </w:tcPr>
          <w:p w14:paraId="58986A95"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Finale Beurteilung LB/PEI</w:t>
            </w:r>
          </w:p>
        </w:tc>
        <w:tc>
          <w:tcPr>
            <w:tcW w:w="6885" w:type="dxa"/>
            <w:shd w:val="clear" w:color="auto" w:fill="D9D9D9" w:themeFill="background1" w:themeFillShade="D9"/>
          </w:tcPr>
          <w:p w14:paraId="6A3DCC10" w14:textId="4E54E6B1"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Für den Fall, dass sich die für den MAH zuständige EU-Behörde nicht zurückmeldet oder bei Gefahr im Verzug, erfolg</w:t>
            </w:r>
            <w:r w:rsidR="00DB2E06" w:rsidRPr="00EB5379">
              <w:rPr>
                <w:rFonts w:ascii="Arial" w:hAnsi="Arial" w:cs="Arial"/>
                <w:sz w:val="20"/>
                <w:szCs w:val="20"/>
              </w:rPr>
              <w:t>en</w:t>
            </w:r>
            <w:r w:rsidRPr="00EB5379">
              <w:rPr>
                <w:rFonts w:ascii="Arial" w:hAnsi="Arial" w:cs="Arial"/>
                <w:sz w:val="20"/>
                <w:szCs w:val="20"/>
              </w:rPr>
              <w:t xml:space="preserve"> </w:t>
            </w:r>
            <w:r w:rsidR="00DB2E06" w:rsidRPr="00EB5379">
              <w:rPr>
                <w:rFonts w:ascii="Arial" w:hAnsi="Arial" w:cs="Arial"/>
                <w:sz w:val="20"/>
                <w:szCs w:val="20"/>
              </w:rPr>
              <w:t xml:space="preserve">die Schritte ab Risikoklassifizierung (→ Nr. 7a) </w:t>
            </w:r>
            <w:r w:rsidRPr="00EB5379">
              <w:rPr>
                <w:rFonts w:ascii="Arial" w:hAnsi="Arial" w:cs="Arial"/>
                <w:sz w:val="20"/>
                <w:szCs w:val="20"/>
              </w:rPr>
              <w:t>durch die erstinvolvierte, für Qualitätsdefekte zuständige Behörde (ggf. in Abstimmung und Informationsaustausch mit EU</w:t>
            </w:r>
            <w:r w:rsidR="00AF7B19">
              <w:rPr>
                <w:rFonts w:ascii="Arial" w:hAnsi="Arial" w:cs="Arial"/>
                <w:sz w:val="20"/>
                <w:szCs w:val="20"/>
              </w:rPr>
              <w:t>-</w:t>
            </w:r>
            <w:r w:rsidRPr="00EB5379">
              <w:rPr>
                <w:rFonts w:ascii="Arial" w:hAnsi="Arial" w:cs="Arial"/>
                <w:sz w:val="20"/>
                <w:szCs w:val="20"/>
              </w:rPr>
              <w:t xml:space="preserve">Behörde); </w:t>
            </w:r>
            <w:r w:rsidRPr="00EB5379">
              <w:rPr>
                <w:rFonts w:ascii="Arial" w:hAnsi="Arial" w:cs="Arial"/>
                <w:b/>
                <w:i/>
                <w:sz w:val="20"/>
                <w:szCs w:val="20"/>
              </w:rPr>
              <w:t>siehe auch Ausführungen zu Nr. 6.</w:t>
            </w:r>
          </w:p>
          <w:p w14:paraId="5FCA7E44" w14:textId="77777777" w:rsidR="00372FD3" w:rsidRPr="00EB5379"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EB5379">
              <w:rPr>
                <w:rFonts w:ascii="Arial" w:hAnsi="Arial" w:cs="Arial"/>
                <w:sz w:val="20"/>
                <w:szCs w:val="20"/>
              </w:rPr>
              <w:t>PEI: Im Rahmen der staatlichen Chargenfreigabe</w:t>
            </w:r>
          </w:p>
        </w:tc>
      </w:tr>
      <w:tr w:rsidR="00372FD3" w:rsidRPr="00EB5379" w14:paraId="373D24F3" w14:textId="77777777" w:rsidTr="00AD5A6D">
        <w:trPr>
          <w:jc w:val="center"/>
        </w:trPr>
        <w:tc>
          <w:tcPr>
            <w:tcW w:w="550" w:type="dxa"/>
            <w:shd w:val="clear" w:color="auto" w:fill="D9D9D9" w:themeFill="background1" w:themeFillShade="D9"/>
          </w:tcPr>
          <w:p w14:paraId="190CE77C"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10</w:t>
            </w:r>
          </w:p>
        </w:tc>
        <w:tc>
          <w:tcPr>
            <w:tcW w:w="1637" w:type="dxa"/>
            <w:shd w:val="clear" w:color="auto" w:fill="D9D9D9" w:themeFill="background1" w:themeFillShade="D9"/>
          </w:tcPr>
          <w:p w14:paraId="1F193B9E"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BOBs</w:t>
            </w:r>
          </w:p>
        </w:tc>
        <w:tc>
          <w:tcPr>
            <w:tcW w:w="6885" w:type="dxa"/>
            <w:shd w:val="clear" w:color="auto" w:fill="D9D9D9" w:themeFill="background1" w:themeFillShade="D9"/>
          </w:tcPr>
          <w:p w14:paraId="2610DF63"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BOBs koordinieren im Rahmen ihrer Funktion als SPOC; Weiterleitung durch BOB (= SPOC) an für MAH zust. EU-Behörde</w:t>
            </w:r>
          </w:p>
          <w:p w14:paraId="70569B46" w14:textId="6C554D22"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Bei zentraler Zulassung</w:t>
            </w:r>
            <w:r w:rsidR="0074776F" w:rsidRPr="00EB5379">
              <w:rPr>
                <w:rFonts w:ascii="Arial" w:hAnsi="Arial" w:cs="Arial"/>
                <w:sz w:val="20"/>
                <w:szCs w:val="20"/>
              </w:rPr>
              <w:t xml:space="preserve"> zur</w:t>
            </w:r>
            <w:r w:rsidRPr="00EB5379">
              <w:rPr>
                <w:rFonts w:ascii="Arial" w:hAnsi="Arial" w:cs="Arial"/>
                <w:sz w:val="20"/>
                <w:szCs w:val="20"/>
              </w:rPr>
              <w:t xml:space="preserve"> Info an EMA durch BOB </w:t>
            </w:r>
          </w:p>
          <w:p w14:paraId="458FC31E"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Für den Fall, dass durch die zuständige EU-Behörde keine Rückmeldung erfolgt, wird diese Information an die erstinvolvierte Behörde (gemäß Feld 1) bzw. Ersatz-LB (gemäß Feld 6) gegeben (→ blau gestrichelter Pfeil von </w:t>
            </w:r>
            <w:r w:rsidRPr="00EB5379">
              <w:rPr>
                <w:rFonts w:ascii="Arial" w:hAnsi="Arial" w:cs="Arial"/>
                <w:b/>
                <w:sz w:val="20"/>
                <w:szCs w:val="20"/>
              </w:rPr>
              <w:t>Nr. 10</w:t>
            </w:r>
            <w:r w:rsidRPr="00EB5379">
              <w:rPr>
                <w:rFonts w:ascii="Arial" w:hAnsi="Arial" w:cs="Arial"/>
                <w:sz w:val="20"/>
                <w:szCs w:val="20"/>
              </w:rPr>
              <w:t xml:space="preserve"> zu → </w:t>
            </w:r>
            <w:r w:rsidRPr="00EB5379">
              <w:rPr>
                <w:rFonts w:ascii="Arial" w:hAnsi="Arial" w:cs="Arial"/>
                <w:b/>
                <w:sz w:val="20"/>
                <w:szCs w:val="20"/>
              </w:rPr>
              <w:t>Nr. 9</w:t>
            </w:r>
            <w:r w:rsidRPr="00EB5379">
              <w:rPr>
                <w:rFonts w:ascii="Arial" w:hAnsi="Arial" w:cs="Arial"/>
                <w:sz w:val="20"/>
                <w:szCs w:val="20"/>
              </w:rPr>
              <w:t xml:space="preserve">); Rückmeldungen/Infos aus dem EU-Ausland (→ blau gestrichelter Pfeil: Information von </w:t>
            </w:r>
            <w:r w:rsidRPr="00EB5379">
              <w:rPr>
                <w:rFonts w:ascii="Arial" w:hAnsi="Arial" w:cs="Arial"/>
                <w:b/>
                <w:sz w:val="20"/>
                <w:szCs w:val="20"/>
              </w:rPr>
              <w:t>Nr. 11</w:t>
            </w:r>
            <w:r w:rsidRPr="00EB5379">
              <w:rPr>
                <w:rFonts w:ascii="Arial" w:hAnsi="Arial" w:cs="Arial"/>
                <w:sz w:val="20"/>
                <w:szCs w:val="20"/>
              </w:rPr>
              <w:t xml:space="preserve"> kommend, sofern keine RAN-Meldung von der zuständigen EU-Behörde abgegeben wird) werden ebenfalls von den BOBs an die Behörde nach → </w:t>
            </w:r>
            <w:r w:rsidRPr="00EB5379">
              <w:rPr>
                <w:rFonts w:ascii="Arial" w:hAnsi="Arial" w:cs="Arial"/>
                <w:b/>
                <w:sz w:val="20"/>
                <w:szCs w:val="20"/>
              </w:rPr>
              <w:t>Nr. 9</w:t>
            </w:r>
            <w:r w:rsidRPr="00EB5379">
              <w:rPr>
                <w:rFonts w:ascii="Arial" w:hAnsi="Arial" w:cs="Arial"/>
                <w:sz w:val="20"/>
                <w:szCs w:val="20"/>
              </w:rPr>
              <w:t xml:space="preserve"> gegeben.</w:t>
            </w:r>
          </w:p>
        </w:tc>
      </w:tr>
      <w:tr w:rsidR="00372FD3" w:rsidRPr="00EB5379" w14:paraId="2B242DDD" w14:textId="77777777" w:rsidTr="00AD5A6D">
        <w:trPr>
          <w:jc w:val="center"/>
        </w:trPr>
        <w:tc>
          <w:tcPr>
            <w:tcW w:w="550" w:type="dxa"/>
            <w:shd w:val="clear" w:color="auto" w:fill="D9D9D9" w:themeFill="background1" w:themeFillShade="D9"/>
          </w:tcPr>
          <w:p w14:paraId="3FBF49F5"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11</w:t>
            </w:r>
          </w:p>
        </w:tc>
        <w:tc>
          <w:tcPr>
            <w:tcW w:w="1637" w:type="dxa"/>
            <w:shd w:val="clear" w:color="auto" w:fill="D9D9D9" w:themeFill="background1" w:themeFillShade="D9"/>
          </w:tcPr>
          <w:p w14:paraId="28850104"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Abgabe an EU-Behörde</w:t>
            </w:r>
          </w:p>
        </w:tc>
        <w:tc>
          <w:tcPr>
            <w:tcW w:w="6885" w:type="dxa"/>
            <w:shd w:val="clear" w:color="auto" w:fill="D9D9D9" w:themeFill="background1" w:themeFillShade="D9"/>
          </w:tcPr>
          <w:p w14:paraId="1184B519"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 xml:space="preserve">Abgabe durch BOBs an die für den MAH zuständige EU-Behörde, die dann die Federführung übernimmt und ggf. eine RAN ausstellt und kommuniziert </w:t>
            </w:r>
            <w:r w:rsidRPr="00EB5379">
              <w:rPr>
                <w:rFonts w:ascii="Arial" w:hAnsi="Arial" w:cs="Arial"/>
                <w:b/>
                <w:sz w:val="20"/>
                <w:szCs w:val="20"/>
              </w:rPr>
              <w:t xml:space="preserve">→ </w:t>
            </w:r>
            <w:r w:rsidRPr="00EB5379">
              <w:rPr>
                <w:rFonts w:ascii="Arial" w:hAnsi="Arial" w:cs="Arial"/>
                <w:b/>
                <w:sz w:val="20"/>
                <w:szCs w:val="20"/>
                <w:shd w:val="clear" w:color="auto" w:fill="D9D9D9" w:themeFill="background1" w:themeFillShade="D9"/>
              </w:rPr>
              <w:t>Nr. 12a</w:t>
            </w:r>
          </w:p>
        </w:tc>
      </w:tr>
      <w:tr w:rsidR="00372FD3" w:rsidRPr="00EB5379" w14:paraId="1340FF67" w14:textId="77777777" w:rsidTr="00AD5A6D">
        <w:trPr>
          <w:jc w:val="center"/>
        </w:trPr>
        <w:tc>
          <w:tcPr>
            <w:tcW w:w="550" w:type="dxa"/>
            <w:shd w:val="clear" w:color="auto" w:fill="auto"/>
          </w:tcPr>
          <w:p w14:paraId="26005074"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12a</w:t>
            </w:r>
          </w:p>
        </w:tc>
        <w:tc>
          <w:tcPr>
            <w:tcW w:w="1637" w:type="dxa"/>
            <w:shd w:val="clear" w:color="auto" w:fill="auto"/>
          </w:tcPr>
          <w:p w14:paraId="751B2B75"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RAN aus EU-Ausland</w:t>
            </w:r>
          </w:p>
        </w:tc>
        <w:tc>
          <w:tcPr>
            <w:tcW w:w="6885" w:type="dxa"/>
            <w:shd w:val="clear" w:color="auto" w:fill="auto"/>
          </w:tcPr>
          <w:p w14:paraId="2E5F25FC"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Ausgefüllte RAN aus dem EU-Ausland</w:t>
            </w:r>
          </w:p>
        </w:tc>
      </w:tr>
      <w:tr w:rsidR="00372FD3" w:rsidRPr="00EB5379" w14:paraId="518CB571" w14:textId="77777777" w:rsidTr="00AD5A6D">
        <w:trPr>
          <w:jc w:val="center"/>
        </w:trPr>
        <w:tc>
          <w:tcPr>
            <w:tcW w:w="550" w:type="dxa"/>
            <w:shd w:val="clear" w:color="auto" w:fill="auto"/>
          </w:tcPr>
          <w:p w14:paraId="3F92D781" w14:textId="77777777" w:rsidR="00372FD3" w:rsidRPr="00EB5379" w:rsidRDefault="00372FD3" w:rsidP="00B0615E">
            <w:pPr>
              <w:pageBreakBefore/>
              <w:widowControl w:val="0"/>
              <w:rPr>
                <w:rFonts w:ascii="Arial" w:hAnsi="Arial" w:cs="Arial"/>
                <w:b/>
                <w:sz w:val="20"/>
                <w:szCs w:val="20"/>
              </w:rPr>
            </w:pPr>
            <w:r w:rsidRPr="00EB5379">
              <w:rPr>
                <w:rFonts w:ascii="Arial" w:hAnsi="Arial" w:cs="Arial"/>
                <w:b/>
                <w:sz w:val="20"/>
                <w:szCs w:val="20"/>
              </w:rPr>
              <w:lastRenderedPageBreak/>
              <w:t>12b</w:t>
            </w:r>
          </w:p>
        </w:tc>
        <w:tc>
          <w:tcPr>
            <w:tcW w:w="1637" w:type="dxa"/>
            <w:shd w:val="clear" w:color="auto" w:fill="auto"/>
          </w:tcPr>
          <w:p w14:paraId="7F623578"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BOBs</w:t>
            </w:r>
          </w:p>
        </w:tc>
        <w:tc>
          <w:tcPr>
            <w:tcW w:w="6885" w:type="dxa"/>
            <w:shd w:val="clear" w:color="auto" w:fill="auto"/>
          </w:tcPr>
          <w:p w14:paraId="75AA32FA"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Die BOBs erhalten die RAN in ihrer Funktion als SPOC.</w:t>
            </w:r>
          </w:p>
          <w:p w14:paraId="1D72A0BA"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Die BOB bewertet den Fall im Rahmen der gesetzlich festgelegten Zuständigkeiten. Sie prüft dementsprechend eigene Maßnahmen in ihrem Zuständigkeitsbereich.</w:t>
            </w:r>
          </w:p>
        </w:tc>
      </w:tr>
      <w:tr w:rsidR="00372FD3" w:rsidRPr="00EB5379" w14:paraId="49B12F01" w14:textId="77777777" w:rsidTr="00AD5A6D">
        <w:trPr>
          <w:jc w:val="center"/>
        </w:trPr>
        <w:tc>
          <w:tcPr>
            <w:tcW w:w="550" w:type="dxa"/>
            <w:shd w:val="clear" w:color="auto" w:fill="auto"/>
          </w:tcPr>
          <w:p w14:paraId="1E19A0E5"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12c</w:t>
            </w:r>
          </w:p>
        </w:tc>
        <w:tc>
          <w:tcPr>
            <w:tcW w:w="1637" w:type="dxa"/>
            <w:shd w:val="clear" w:color="auto" w:fill="auto"/>
          </w:tcPr>
          <w:p w14:paraId="583E39CC"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Kommunikation über RAS-Verteiler</w:t>
            </w:r>
          </w:p>
        </w:tc>
        <w:tc>
          <w:tcPr>
            <w:tcW w:w="6885" w:type="dxa"/>
            <w:shd w:val="clear" w:color="auto" w:fill="auto"/>
          </w:tcPr>
          <w:p w14:paraId="663C2152" w14:textId="77777777" w:rsidR="00372FD3" w:rsidRPr="00D97F7D" w:rsidRDefault="00372FD3" w:rsidP="00372FD3">
            <w:pPr>
              <w:pStyle w:val="Listenabsatz"/>
              <w:widowControl w:val="0"/>
              <w:numPr>
                <w:ilvl w:val="0"/>
                <w:numId w:val="13"/>
              </w:numPr>
              <w:ind w:left="170" w:hanging="170"/>
              <w:contextualSpacing w:val="0"/>
              <w:rPr>
                <w:rFonts w:ascii="Arial" w:hAnsi="Arial" w:cs="Arial"/>
                <w:sz w:val="20"/>
                <w:szCs w:val="20"/>
              </w:rPr>
            </w:pPr>
            <w:r w:rsidRPr="00D97F7D">
              <w:rPr>
                <w:rFonts w:ascii="Arial" w:hAnsi="Arial" w:cs="Arial"/>
                <w:sz w:val="20"/>
                <w:szCs w:val="20"/>
              </w:rPr>
              <w:t>Verteilung/Weiterleitung der RAN an alle Behörden/Stellen in DE →</w:t>
            </w:r>
            <w:r w:rsidRPr="00D97F7D">
              <w:rPr>
                <w:rFonts w:ascii="Arial" w:hAnsi="Arial" w:cs="Arial"/>
                <w:b/>
                <w:sz w:val="20"/>
                <w:szCs w:val="20"/>
              </w:rPr>
              <w:t xml:space="preserve"> Nr. 13</w:t>
            </w:r>
          </w:p>
          <w:p w14:paraId="2BD73B4E" w14:textId="36BDAE4D" w:rsidR="00372FD3" w:rsidRPr="00153768" w:rsidRDefault="00A97541" w:rsidP="006F30FB">
            <w:pPr>
              <w:pStyle w:val="Listenabsatz"/>
              <w:widowControl w:val="0"/>
              <w:numPr>
                <w:ilvl w:val="0"/>
                <w:numId w:val="13"/>
              </w:numPr>
              <w:spacing w:before="60"/>
              <w:ind w:left="170" w:hanging="170"/>
              <w:contextualSpacing w:val="0"/>
              <w:rPr>
                <w:rFonts w:ascii="Arial" w:hAnsi="Arial" w:cs="Arial"/>
                <w:sz w:val="20"/>
                <w:szCs w:val="20"/>
              </w:rPr>
            </w:pPr>
            <w:r w:rsidRPr="00153768">
              <w:rPr>
                <w:rFonts w:ascii="Arial" w:hAnsi="Arial" w:cs="Arial"/>
                <w:sz w:val="20"/>
                <w:szCs w:val="20"/>
              </w:rPr>
              <w:t>Kommunikation über RAS-Verteiler gemäß BfArM-Homepage für Humanarzneimittel (</w:t>
            </w:r>
            <w:hyperlink r:id="rId15" w:history="1">
              <w:r w:rsidRPr="00153768">
                <w:rPr>
                  <w:rStyle w:val="Hyperlink"/>
                  <w:rFonts w:ascii="Arial" w:hAnsi="Arial" w:cs="Arial"/>
                  <w:sz w:val="20"/>
                  <w:szCs w:val="20"/>
                </w:rPr>
                <w:t>http://www2.bfarm.de/phvig/rapalert/index.php</w:t>
              </w:r>
            </w:hyperlink>
            <w:r w:rsidRPr="00153768">
              <w:rPr>
                <w:rFonts w:ascii="Arial" w:hAnsi="Arial" w:cs="Arial"/>
                <w:sz w:val="20"/>
                <w:szCs w:val="20"/>
              </w:rPr>
              <w:t>) bzw. BVL-Homepage für Tierarzneimittel (</w:t>
            </w:r>
            <w:hyperlink r:id="rId16" w:history="1">
              <w:r w:rsidRPr="00153768">
                <w:rPr>
                  <w:rStyle w:val="Hyperlink"/>
                  <w:rFonts w:ascii="Arial" w:hAnsi="Arial" w:cs="Arial"/>
                  <w:sz w:val="20"/>
                  <w:szCs w:val="20"/>
                </w:rPr>
                <w:t>https://www.bvl.bund.de/DE/05_Tierarzneimittel/01_Aufgaben/04_UeberwachungBetreuung/03_Risikokommunikation/Verteilerliste/Email-Verteiler.html?nn=1622848</w:t>
              </w:r>
            </w:hyperlink>
            <w:r w:rsidR="00153768" w:rsidRPr="00153768">
              <w:rPr>
                <w:rFonts w:ascii="Arial" w:hAnsi="Arial" w:cs="Arial"/>
                <w:sz w:val="20"/>
                <w:szCs w:val="20"/>
              </w:rPr>
              <w:t xml:space="preserve">); </w:t>
            </w:r>
            <w:r w:rsidR="00372FD3" w:rsidRPr="00153768">
              <w:rPr>
                <w:rFonts w:ascii="Arial" w:hAnsi="Arial" w:cs="Arial"/>
                <w:sz w:val="20"/>
                <w:szCs w:val="20"/>
              </w:rPr>
              <w:t>(alle Kontakte im Verteiler)</w:t>
            </w:r>
          </w:p>
          <w:p w14:paraId="22EB1B39" w14:textId="1EB4C7F5" w:rsidR="00705264" w:rsidRPr="00D97F7D" w:rsidRDefault="00372FD3" w:rsidP="007228FC">
            <w:pPr>
              <w:pStyle w:val="Listenabsatz"/>
              <w:widowControl w:val="0"/>
              <w:numPr>
                <w:ilvl w:val="1"/>
                <w:numId w:val="13"/>
              </w:numPr>
              <w:spacing w:before="60" w:after="60"/>
              <w:ind w:left="340" w:hanging="170"/>
              <w:contextualSpacing w:val="0"/>
              <w:rPr>
                <w:rFonts w:ascii="Arial" w:hAnsi="Arial" w:cs="Arial"/>
                <w:sz w:val="20"/>
                <w:szCs w:val="20"/>
              </w:rPr>
            </w:pPr>
            <w:r w:rsidRPr="00D97F7D">
              <w:rPr>
                <w:rFonts w:ascii="Arial" w:hAnsi="Arial" w:cs="Arial"/>
                <w:sz w:val="20"/>
                <w:szCs w:val="20"/>
              </w:rPr>
              <w:t xml:space="preserve">RAS II-Fälle aus dem Ausland werden nur an die Länder (gemäß </w:t>
            </w:r>
            <w:proofErr w:type="spellStart"/>
            <w:r w:rsidR="0074776F" w:rsidRPr="00D97F7D">
              <w:rPr>
                <w:rFonts w:ascii="Arial" w:hAnsi="Arial" w:cs="Arial"/>
                <w:sz w:val="20"/>
                <w:szCs w:val="20"/>
              </w:rPr>
              <w:t>AmAnDa</w:t>
            </w:r>
            <w:proofErr w:type="spellEnd"/>
            <w:r w:rsidRPr="00D97F7D">
              <w:rPr>
                <w:rFonts w:ascii="Arial" w:hAnsi="Arial" w:cs="Arial"/>
                <w:sz w:val="20"/>
                <w:szCs w:val="20"/>
              </w:rPr>
              <w:t xml:space="preserve">-Eintragung) verteilt, in denen Zulassungsinhaber der betreffenden Arzneimittel ihren Sitz haben </w:t>
            </w:r>
            <w:r w:rsidR="007228FC" w:rsidRPr="00D97F7D">
              <w:rPr>
                <w:rFonts w:ascii="Arial" w:hAnsi="Arial" w:cs="Arial"/>
                <w:sz w:val="20"/>
                <w:szCs w:val="20"/>
              </w:rPr>
              <w:t>bzw.</w:t>
            </w:r>
            <w:r w:rsidR="00705264" w:rsidRPr="00D97F7D">
              <w:rPr>
                <w:rFonts w:ascii="Arial" w:hAnsi="Arial" w:cs="Arial"/>
                <w:sz w:val="20"/>
                <w:szCs w:val="20"/>
              </w:rPr>
              <w:t xml:space="preserve"> – falls erforderlich </w:t>
            </w:r>
            <w:r w:rsidR="00B1395E" w:rsidRPr="00D97F7D">
              <w:rPr>
                <w:rFonts w:ascii="Arial" w:hAnsi="Arial" w:cs="Arial"/>
                <w:sz w:val="20"/>
                <w:szCs w:val="20"/>
              </w:rPr>
              <w:t>–</w:t>
            </w:r>
            <w:r w:rsidR="00705264" w:rsidRPr="00D97F7D">
              <w:rPr>
                <w:rFonts w:ascii="Arial" w:hAnsi="Arial" w:cs="Arial"/>
                <w:sz w:val="20"/>
                <w:szCs w:val="20"/>
              </w:rPr>
              <w:t xml:space="preserve"> </w:t>
            </w:r>
            <w:r w:rsidR="007228FC" w:rsidRPr="00D97F7D">
              <w:rPr>
                <w:rFonts w:ascii="Arial" w:hAnsi="Arial" w:cs="Arial"/>
                <w:sz w:val="20"/>
                <w:szCs w:val="20"/>
              </w:rPr>
              <w:t>gemäß</w:t>
            </w:r>
            <w:r w:rsidR="00705264" w:rsidRPr="00D97F7D">
              <w:rPr>
                <w:rFonts w:ascii="Arial" w:hAnsi="Arial" w:cs="Arial"/>
                <w:sz w:val="20"/>
                <w:szCs w:val="20"/>
              </w:rPr>
              <w:t xml:space="preserve"> VAW 161104 „Verteilverfahren“.</w:t>
            </w:r>
          </w:p>
          <w:p w14:paraId="6BDE495C" w14:textId="77777777" w:rsidR="00372FD3" w:rsidRPr="00EB5379" w:rsidRDefault="00372FD3" w:rsidP="00372FD3">
            <w:pPr>
              <w:pStyle w:val="Listenabsatz"/>
              <w:widowControl w:val="0"/>
              <w:numPr>
                <w:ilvl w:val="1"/>
                <w:numId w:val="13"/>
              </w:numPr>
              <w:spacing w:before="60" w:after="60"/>
              <w:ind w:left="340" w:hanging="170"/>
              <w:contextualSpacing w:val="0"/>
              <w:rPr>
                <w:rFonts w:ascii="Arial" w:hAnsi="Arial" w:cs="Arial"/>
                <w:sz w:val="20"/>
                <w:szCs w:val="20"/>
              </w:rPr>
            </w:pPr>
            <w:r w:rsidRPr="00D97F7D">
              <w:rPr>
                <w:rFonts w:ascii="Arial" w:hAnsi="Arial" w:cs="Arial"/>
                <w:sz w:val="20"/>
                <w:szCs w:val="20"/>
              </w:rPr>
              <w:t>RAS II-Fälle zur Kommunikation außerhalb DEs werden nur an die betroffenen EU-Staaten verteilt.</w:t>
            </w:r>
          </w:p>
        </w:tc>
      </w:tr>
      <w:tr w:rsidR="00372FD3" w:rsidRPr="00EB5379" w14:paraId="5AE129CF" w14:textId="77777777" w:rsidTr="00AD5A6D">
        <w:trPr>
          <w:jc w:val="center"/>
        </w:trPr>
        <w:tc>
          <w:tcPr>
            <w:tcW w:w="550" w:type="dxa"/>
            <w:shd w:val="clear" w:color="auto" w:fill="auto"/>
          </w:tcPr>
          <w:p w14:paraId="2D651873" w14:textId="77777777" w:rsidR="00372FD3" w:rsidRPr="00EB5379" w:rsidRDefault="00372FD3" w:rsidP="001A0B61">
            <w:pPr>
              <w:widowControl w:val="0"/>
              <w:rPr>
                <w:rFonts w:ascii="Arial" w:hAnsi="Arial" w:cs="Arial"/>
                <w:b/>
                <w:sz w:val="20"/>
                <w:szCs w:val="20"/>
              </w:rPr>
            </w:pPr>
            <w:r w:rsidRPr="00EB5379">
              <w:rPr>
                <w:rFonts w:ascii="Arial" w:hAnsi="Arial" w:cs="Arial"/>
                <w:b/>
                <w:sz w:val="20"/>
                <w:szCs w:val="20"/>
              </w:rPr>
              <w:t>13</w:t>
            </w:r>
          </w:p>
        </w:tc>
        <w:tc>
          <w:tcPr>
            <w:tcW w:w="1637" w:type="dxa"/>
            <w:shd w:val="clear" w:color="auto" w:fill="auto"/>
          </w:tcPr>
          <w:p w14:paraId="1A67BA83" w14:textId="77777777" w:rsidR="00372FD3" w:rsidRPr="00EB5379" w:rsidRDefault="00372FD3" w:rsidP="000A2655">
            <w:pPr>
              <w:pageBreakBefore/>
              <w:widowControl w:val="0"/>
              <w:rPr>
                <w:rFonts w:ascii="Arial" w:hAnsi="Arial" w:cs="Arial"/>
                <w:sz w:val="20"/>
                <w:szCs w:val="20"/>
              </w:rPr>
            </w:pPr>
            <w:r w:rsidRPr="00EB5379">
              <w:rPr>
                <w:rFonts w:ascii="Arial" w:hAnsi="Arial" w:cs="Arial"/>
                <w:sz w:val="20"/>
                <w:szCs w:val="20"/>
              </w:rPr>
              <w:t>Information DE- Behörden/ Stellen</w:t>
            </w:r>
          </w:p>
        </w:tc>
        <w:tc>
          <w:tcPr>
            <w:tcW w:w="6885" w:type="dxa"/>
            <w:shd w:val="clear" w:color="auto" w:fill="auto"/>
          </w:tcPr>
          <w:p w14:paraId="186AF90D" w14:textId="77777777" w:rsidR="00372FD3" w:rsidRPr="00EB5379" w:rsidRDefault="00372FD3" w:rsidP="00372FD3">
            <w:pPr>
              <w:pStyle w:val="Listenabsatz"/>
              <w:widowControl w:val="0"/>
              <w:numPr>
                <w:ilvl w:val="0"/>
                <w:numId w:val="13"/>
              </w:numPr>
              <w:ind w:left="170" w:hanging="170"/>
              <w:contextualSpacing w:val="0"/>
              <w:rPr>
                <w:rFonts w:ascii="Arial" w:hAnsi="Arial" w:cs="Arial"/>
                <w:sz w:val="20"/>
                <w:szCs w:val="20"/>
              </w:rPr>
            </w:pPr>
            <w:r w:rsidRPr="00EB5379">
              <w:rPr>
                <w:rFonts w:ascii="Arial" w:hAnsi="Arial" w:cs="Arial"/>
                <w:sz w:val="20"/>
                <w:szCs w:val="20"/>
              </w:rPr>
              <w:t>Die Durchführung von Maßnahmen und ggf. das Ausstellen von Follow-</w:t>
            </w:r>
            <w:proofErr w:type="spellStart"/>
            <w:r w:rsidRPr="00EB5379">
              <w:rPr>
                <w:rFonts w:ascii="Arial" w:hAnsi="Arial" w:cs="Arial"/>
                <w:sz w:val="20"/>
                <w:szCs w:val="20"/>
              </w:rPr>
              <w:t>up</w:t>
            </w:r>
            <w:proofErr w:type="spellEnd"/>
            <w:r w:rsidRPr="00EB5379">
              <w:rPr>
                <w:rFonts w:ascii="Arial" w:hAnsi="Arial" w:cs="Arial"/>
                <w:sz w:val="20"/>
                <w:szCs w:val="20"/>
              </w:rPr>
              <w:t xml:space="preserve"> Meldungen obliegt der für den MAH zuständigen LB, ggf. zusätzlich (d. h. hauptsächlich im Fall von RAN-Meldungen aus EU-Ausland) der zuständigen BOB →</w:t>
            </w:r>
            <w:r w:rsidRPr="00EB5379">
              <w:rPr>
                <w:rFonts w:ascii="Arial" w:hAnsi="Arial" w:cs="Arial"/>
                <w:b/>
                <w:sz w:val="20"/>
                <w:szCs w:val="20"/>
              </w:rPr>
              <w:t xml:space="preserve"> Nr. 14</w:t>
            </w:r>
          </w:p>
        </w:tc>
      </w:tr>
      <w:tr w:rsidR="00372FD3" w:rsidRPr="008B10A8" w14:paraId="357411D8" w14:textId="77777777" w:rsidTr="00AD5A6D">
        <w:trPr>
          <w:jc w:val="center"/>
        </w:trPr>
        <w:tc>
          <w:tcPr>
            <w:tcW w:w="550" w:type="dxa"/>
            <w:shd w:val="clear" w:color="auto" w:fill="auto"/>
          </w:tcPr>
          <w:p w14:paraId="0B0DCBFC" w14:textId="77777777" w:rsidR="00372FD3" w:rsidRPr="00EB5379" w:rsidRDefault="00372FD3" w:rsidP="000A2655">
            <w:pPr>
              <w:widowControl w:val="0"/>
              <w:rPr>
                <w:rFonts w:ascii="Arial" w:hAnsi="Arial" w:cs="Arial"/>
                <w:b/>
                <w:sz w:val="20"/>
                <w:szCs w:val="20"/>
              </w:rPr>
            </w:pPr>
            <w:r w:rsidRPr="00EB5379">
              <w:rPr>
                <w:rFonts w:ascii="Arial" w:hAnsi="Arial" w:cs="Arial"/>
                <w:b/>
                <w:sz w:val="20"/>
                <w:szCs w:val="20"/>
              </w:rPr>
              <w:t>14</w:t>
            </w:r>
          </w:p>
        </w:tc>
        <w:tc>
          <w:tcPr>
            <w:tcW w:w="1637" w:type="dxa"/>
            <w:shd w:val="clear" w:color="auto" w:fill="auto"/>
          </w:tcPr>
          <w:p w14:paraId="2B573799" w14:textId="77777777" w:rsidR="00372FD3" w:rsidRPr="00EB5379" w:rsidRDefault="00372FD3" w:rsidP="000A2655">
            <w:pPr>
              <w:widowControl w:val="0"/>
              <w:rPr>
                <w:rFonts w:ascii="Arial" w:hAnsi="Arial" w:cs="Arial"/>
                <w:sz w:val="20"/>
                <w:szCs w:val="20"/>
              </w:rPr>
            </w:pPr>
            <w:r w:rsidRPr="00EB5379">
              <w:rPr>
                <w:rFonts w:ascii="Arial" w:hAnsi="Arial" w:cs="Arial"/>
                <w:sz w:val="20"/>
                <w:szCs w:val="20"/>
              </w:rPr>
              <w:t>Maßnahmen, Kommunikation</w:t>
            </w:r>
          </w:p>
        </w:tc>
        <w:tc>
          <w:tcPr>
            <w:tcW w:w="6885" w:type="dxa"/>
            <w:shd w:val="clear" w:color="auto" w:fill="auto"/>
          </w:tcPr>
          <w:p w14:paraId="71E016BB" w14:textId="45BCC647" w:rsidR="00705264" w:rsidRPr="00EB5379" w:rsidRDefault="00372FD3" w:rsidP="00705264">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 xml:space="preserve">Zuständige LB bestimmt sich grundsätzlich nach dem Sitz des MAH </w:t>
            </w:r>
            <w:r w:rsidR="007228FC" w:rsidRPr="00EB5379">
              <w:rPr>
                <w:rFonts w:ascii="Arial" w:hAnsi="Arial" w:cs="Arial"/>
                <w:sz w:val="20"/>
                <w:szCs w:val="20"/>
              </w:rPr>
              <w:t>(vgl. auch VAW 161104 „Verteilverfahren“)</w:t>
            </w:r>
            <w:r w:rsidR="00EB5379" w:rsidRPr="00EB5379">
              <w:rPr>
                <w:rFonts w:ascii="Arial" w:hAnsi="Arial" w:cs="Arial"/>
                <w:sz w:val="20"/>
                <w:szCs w:val="20"/>
              </w:rPr>
              <w:t>.</w:t>
            </w:r>
          </w:p>
          <w:p w14:paraId="3871154A" w14:textId="7D036713"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Maßnahmenkatalog der BOBs: siehe Art 6.1 der Allgemeinen Verwaltungsvorschrift zur Beobachtung, Sammlung und Auswertung von Arzneimittelrisiken (Stufenplan) nach § 63 und § 69 AMG; z. B. Widerruf Chargenfreigabe, die auch die Anordnung eines Rückrufes beinhalten kann (Überwachung des Rückrufs obliegt den LBs im Zuständigkeitsbereich)</w:t>
            </w:r>
            <w:r w:rsidR="006D425F" w:rsidRPr="00EB5379">
              <w:rPr>
                <w:rFonts w:ascii="Arial" w:hAnsi="Arial" w:cs="Arial"/>
                <w:sz w:val="20"/>
                <w:szCs w:val="20"/>
              </w:rPr>
              <w:t xml:space="preserve"> bzw. Artikel 129, 130 und 134 der Verordnung (EU) 2019/6 sowie § 76 TAMG</w:t>
            </w:r>
            <w:r w:rsidRPr="00EB5379">
              <w:rPr>
                <w:rFonts w:ascii="Arial" w:hAnsi="Arial" w:cs="Arial"/>
                <w:sz w:val="20"/>
                <w:szCs w:val="20"/>
              </w:rPr>
              <w:t xml:space="preserve">. Für immunologische Tierarzneimittel gelten § 27 (Rücknahme, Widerruf, Ruhen der Zulassung) und § 34 (Rücknahme, Widerruf Chargenfreigabe) </w:t>
            </w:r>
            <w:proofErr w:type="spellStart"/>
            <w:r w:rsidRPr="00EB5379">
              <w:rPr>
                <w:rFonts w:ascii="Arial" w:hAnsi="Arial" w:cs="Arial"/>
                <w:sz w:val="20"/>
                <w:szCs w:val="20"/>
              </w:rPr>
              <w:t>TierImpfStV</w:t>
            </w:r>
            <w:proofErr w:type="spellEnd"/>
            <w:r w:rsidRPr="00EB5379">
              <w:rPr>
                <w:rFonts w:ascii="Arial" w:hAnsi="Arial" w:cs="Arial"/>
                <w:sz w:val="20"/>
                <w:szCs w:val="20"/>
              </w:rPr>
              <w:t xml:space="preserve"> entsprechend.</w:t>
            </w:r>
          </w:p>
          <w:p w14:paraId="654A8DF9" w14:textId="43511A48"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Maßnahmenkatalog der zuständigen Behörden: siehe Art 6.2 der Allgemeinen Verwaltungsvorschrift zur Beobachtung, Sammlung und Auswertung von Arzneimittelrisiken (Stufenplan) nach § 63 und §§ 18 und 69 AMG</w:t>
            </w:r>
            <w:r w:rsidR="001D49DD" w:rsidRPr="00EB5379">
              <w:rPr>
                <w:rFonts w:ascii="Arial" w:hAnsi="Arial" w:cs="Arial"/>
                <w:sz w:val="20"/>
                <w:szCs w:val="20"/>
              </w:rPr>
              <w:t xml:space="preserve"> bzw. Artikel 129</w:t>
            </w:r>
            <w:r w:rsidR="006D425F" w:rsidRPr="00EB5379">
              <w:rPr>
                <w:rFonts w:ascii="Arial" w:hAnsi="Arial" w:cs="Arial"/>
                <w:sz w:val="20"/>
                <w:szCs w:val="20"/>
              </w:rPr>
              <w:t xml:space="preserve"> bis 134</w:t>
            </w:r>
            <w:r w:rsidR="001D49DD" w:rsidRPr="00EB5379">
              <w:rPr>
                <w:rFonts w:ascii="Arial" w:hAnsi="Arial" w:cs="Arial"/>
                <w:sz w:val="20"/>
                <w:szCs w:val="20"/>
              </w:rPr>
              <w:t xml:space="preserve"> der Verordnung (EU) 2019/6 und § 76 TAMG</w:t>
            </w:r>
            <w:r w:rsidRPr="00EB5379">
              <w:rPr>
                <w:rFonts w:ascii="Arial" w:hAnsi="Arial" w:cs="Arial"/>
                <w:sz w:val="20"/>
                <w:szCs w:val="20"/>
              </w:rPr>
              <w:t xml:space="preserve">. Für immunologische Tierarzneimittel gelten §7 </w:t>
            </w:r>
            <w:proofErr w:type="spellStart"/>
            <w:r w:rsidRPr="00EB5379">
              <w:rPr>
                <w:rFonts w:ascii="Arial" w:hAnsi="Arial" w:cs="Arial"/>
                <w:sz w:val="20"/>
                <w:szCs w:val="20"/>
              </w:rPr>
              <w:t>TierImpfStV</w:t>
            </w:r>
            <w:proofErr w:type="spellEnd"/>
            <w:r w:rsidRPr="00EB5379">
              <w:rPr>
                <w:rFonts w:ascii="Arial" w:hAnsi="Arial" w:cs="Arial"/>
                <w:sz w:val="20"/>
                <w:szCs w:val="20"/>
              </w:rPr>
              <w:t xml:space="preserve"> (Ruhen) bzw. §12 Abs. 5 </w:t>
            </w:r>
            <w:proofErr w:type="spellStart"/>
            <w:r w:rsidRPr="00EB5379">
              <w:rPr>
                <w:rFonts w:ascii="Arial" w:hAnsi="Arial" w:cs="Arial"/>
                <w:sz w:val="20"/>
                <w:szCs w:val="20"/>
              </w:rPr>
              <w:t>TierGesG</w:t>
            </w:r>
            <w:proofErr w:type="spellEnd"/>
            <w:r w:rsidRPr="00EB5379">
              <w:rPr>
                <w:rFonts w:ascii="Arial" w:hAnsi="Arial" w:cs="Arial"/>
                <w:sz w:val="20"/>
                <w:szCs w:val="20"/>
              </w:rPr>
              <w:t xml:space="preserve"> (Rücknahme, Widerruf).</w:t>
            </w:r>
          </w:p>
          <w:p w14:paraId="78357E58"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Maßnahmen erfolgen im jeweiligen Zuständigkeitsbereich; LB und BOB informieren sich gegenseitig über getroffene Maßnahmen.</w:t>
            </w:r>
          </w:p>
          <w:p w14:paraId="350DF227" w14:textId="42030048" w:rsidR="00372FD3" w:rsidRPr="00EB5379" w:rsidRDefault="00372FD3" w:rsidP="002C5F66">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MAH (Original) außerhalb DE: Maßnahmen in nachgeordneter Ebene können nur im Vertriebsweg (z. B. GH, Apotheken, Einzelhandel) getroffen werden</w:t>
            </w:r>
          </w:p>
          <w:p w14:paraId="730F8527" w14:textId="77777777" w:rsidR="00372FD3" w:rsidRPr="00EB5379" w:rsidRDefault="00372FD3" w:rsidP="00372FD3">
            <w:pPr>
              <w:pStyle w:val="Listenabsatz"/>
              <w:widowControl w:val="0"/>
              <w:numPr>
                <w:ilvl w:val="0"/>
                <w:numId w:val="13"/>
              </w:numPr>
              <w:spacing w:before="60"/>
              <w:ind w:left="170" w:hanging="170"/>
              <w:contextualSpacing w:val="0"/>
              <w:rPr>
                <w:rFonts w:ascii="Arial" w:hAnsi="Arial" w:cs="Arial"/>
                <w:sz w:val="20"/>
                <w:szCs w:val="20"/>
              </w:rPr>
            </w:pPr>
            <w:r w:rsidRPr="00EB5379">
              <w:rPr>
                <w:rFonts w:ascii="Arial" w:hAnsi="Arial" w:cs="Arial"/>
                <w:sz w:val="20"/>
                <w:szCs w:val="20"/>
              </w:rPr>
              <w:t>Sofern im Zuge der Bearbeitung Folgemeldungen notwendig sind, sind diese mittels Follow-</w:t>
            </w:r>
            <w:proofErr w:type="spellStart"/>
            <w:r w:rsidRPr="00EB5379">
              <w:rPr>
                <w:rFonts w:ascii="Arial" w:hAnsi="Arial" w:cs="Arial"/>
                <w:sz w:val="20"/>
                <w:szCs w:val="20"/>
              </w:rPr>
              <w:t>up</w:t>
            </w:r>
            <w:proofErr w:type="spellEnd"/>
            <w:r w:rsidRPr="00EB5379">
              <w:rPr>
                <w:rFonts w:ascii="Arial" w:hAnsi="Arial" w:cs="Arial"/>
                <w:sz w:val="20"/>
                <w:szCs w:val="20"/>
              </w:rPr>
              <w:t xml:space="preserve"> (FU)/Non-urgent Information (NUI) Formular (ausgestellt durch die für den MAH zuständige LB oder die zuständige BOB) oder einer formlosen Rückmeldung an involvierte Behörde/Stellen, an die BOBs und die LBs über den Dienstweg zu kommunizieren → </w:t>
            </w:r>
            <w:r w:rsidRPr="00EB5379">
              <w:rPr>
                <w:rFonts w:ascii="Arial" w:hAnsi="Arial" w:cs="Arial"/>
                <w:b/>
                <w:sz w:val="20"/>
                <w:szCs w:val="20"/>
              </w:rPr>
              <w:t>Nr. 8a</w:t>
            </w:r>
          </w:p>
        </w:tc>
      </w:tr>
    </w:tbl>
    <w:p w14:paraId="3CAAEAC2" w14:textId="77777777" w:rsidR="00B7435D" w:rsidRPr="00104F38" w:rsidRDefault="00B7435D" w:rsidP="00372FD3">
      <w:pPr>
        <w:rPr>
          <w:rFonts w:ascii="Arial" w:hAnsi="Arial" w:cs="Arial"/>
        </w:rPr>
      </w:pPr>
    </w:p>
    <w:sectPr w:rsidR="00B7435D" w:rsidRPr="00104F38" w:rsidSect="00D04760">
      <w:pgSz w:w="11906" w:h="16838" w:code="9"/>
      <w:pgMar w:top="1418" w:right="1304" w:bottom="1134" w:left="1304"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954B" w14:textId="77777777" w:rsidR="00872D95" w:rsidRDefault="00872D95" w:rsidP="00E17E26">
      <w:pPr>
        <w:spacing w:after="0" w:line="240" w:lineRule="auto"/>
      </w:pPr>
      <w:r>
        <w:separator/>
      </w:r>
    </w:p>
  </w:endnote>
  <w:endnote w:type="continuationSeparator" w:id="0">
    <w:p w14:paraId="50656422" w14:textId="77777777" w:rsidR="00872D95" w:rsidRDefault="00872D95" w:rsidP="00E1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CellMar>
        <w:left w:w="0" w:type="dxa"/>
        <w:right w:w="0" w:type="dxa"/>
      </w:tblCellMar>
      <w:tblLook w:val="04A0" w:firstRow="1" w:lastRow="0" w:firstColumn="1" w:lastColumn="0" w:noHBand="0" w:noVBand="1"/>
    </w:tblPr>
    <w:tblGrid>
      <w:gridCol w:w="4531"/>
      <w:gridCol w:w="4531"/>
    </w:tblGrid>
    <w:tr w:rsidR="000A2655" w:rsidRPr="00D04760" w14:paraId="7EFDD604" w14:textId="77777777" w:rsidTr="00D04760">
      <w:tc>
        <w:tcPr>
          <w:tcW w:w="4531" w:type="dxa"/>
          <w:tcBorders>
            <w:top w:val="nil"/>
            <w:left w:val="nil"/>
            <w:bottom w:val="nil"/>
            <w:right w:val="nil"/>
          </w:tcBorders>
        </w:tcPr>
        <w:p w14:paraId="4FC0E722" w14:textId="085420E9" w:rsidR="000A2655" w:rsidRPr="00D04760" w:rsidRDefault="003E5C7F" w:rsidP="000747EC">
          <w:pPr>
            <w:pStyle w:val="Fuzeile"/>
            <w:rPr>
              <w:rFonts w:ascii="Arial" w:hAnsi="Arial" w:cs="Arial"/>
            </w:rPr>
          </w:pPr>
          <w:r>
            <w:rPr>
              <w:rFonts w:ascii="Arial" w:hAnsi="Arial" w:cs="Arial"/>
            </w:rPr>
            <w:t>Quelle: 12111</w:t>
          </w:r>
          <w:r w:rsidR="000A2655">
            <w:rPr>
              <w:rFonts w:ascii="Arial" w:hAnsi="Arial" w:cs="Arial"/>
            </w:rPr>
            <w:t>1_F01</w:t>
          </w:r>
          <w:r w:rsidR="000A2655" w:rsidRPr="00D04760">
            <w:rPr>
              <w:rFonts w:ascii="Arial" w:hAnsi="Arial" w:cs="Arial"/>
            </w:rPr>
            <w:t>_</w:t>
          </w:r>
          <w:r w:rsidR="000747EC">
            <w:rPr>
              <w:rFonts w:ascii="Arial" w:hAnsi="Arial" w:cs="Arial"/>
            </w:rPr>
            <w:t>02</w:t>
          </w:r>
        </w:p>
      </w:tc>
      <w:tc>
        <w:tcPr>
          <w:tcW w:w="4531" w:type="dxa"/>
          <w:tcBorders>
            <w:top w:val="nil"/>
            <w:left w:val="nil"/>
            <w:bottom w:val="nil"/>
            <w:right w:val="nil"/>
          </w:tcBorders>
        </w:tcPr>
        <w:p w14:paraId="366FEDAD" w14:textId="4E714600" w:rsidR="000A2655" w:rsidRPr="00D04760" w:rsidRDefault="000A2655" w:rsidP="00804EB9">
          <w:pPr>
            <w:pStyle w:val="Fuzeile"/>
            <w:jc w:val="right"/>
            <w:rPr>
              <w:rFonts w:ascii="Arial" w:hAnsi="Arial" w:cs="Arial"/>
            </w:rPr>
          </w:pPr>
          <w:r>
            <w:rPr>
              <w:rFonts w:ascii="Arial" w:hAnsi="Arial" w:cs="Arial"/>
            </w:rPr>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53768">
            <w:rPr>
              <w:rFonts w:ascii="Arial" w:hAnsi="Arial" w:cs="Arial"/>
              <w:noProof/>
            </w:rPr>
            <w:t>7</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SECTIONPAGES   \* MERGEFORMAT </w:instrText>
          </w:r>
          <w:r>
            <w:rPr>
              <w:rFonts w:ascii="Arial" w:hAnsi="Arial" w:cs="Arial"/>
            </w:rPr>
            <w:fldChar w:fldCharType="separate"/>
          </w:r>
          <w:r w:rsidR="00153768">
            <w:rPr>
              <w:rFonts w:ascii="Arial" w:hAnsi="Arial" w:cs="Arial"/>
              <w:noProof/>
            </w:rPr>
            <w:t>7</w:t>
          </w:r>
          <w:r>
            <w:rPr>
              <w:rFonts w:ascii="Arial" w:hAnsi="Arial" w:cs="Arial"/>
            </w:rPr>
            <w:fldChar w:fldCharType="end"/>
          </w:r>
        </w:p>
      </w:tc>
    </w:tr>
  </w:tbl>
  <w:p w14:paraId="495319B5" w14:textId="77777777" w:rsidR="000A2655" w:rsidRDefault="000A26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0A2655" w14:paraId="430E65F2" w14:textId="77777777" w:rsidTr="00724171">
      <w:trPr>
        <w:jc w:val="center"/>
      </w:trPr>
      <w:tc>
        <w:tcPr>
          <w:tcW w:w="9212" w:type="dxa"/>
        </w:tcPr>
        <w:p w14:paraId="276AB0D3" w14:textId="0BCE05A3" w:rsidR="000A2655" w:rsidRPr="00C55977" w:rsidRDefault="000A2655" w:rsidP="000747EC">
          <w:pPr>
            <w:pStyle w:val="Fuzeile"/>
            <w:jc w:val="center"/>
            <w:rPr>
              <w:rFonts w:ascii="Arial" w:hAnsi="Arial" w:cs="Arial"/>
            </w:rPr>
          </w:pPr>
          <w:r w:rsidRPr="000747EC">
            <w:rPr>
              <w:rFonts w:ascii="Arial" w:hAnsi="Arial" w:cs="Arial"/>
            </w:rPr>
            <w:t>öffentlich</w:t>
          </w:r>
        </w:p>
      </w:tc>
    </w:tr>
  </w:tbl>
  <w:p w14:paraId="1A69BFD8" w14:textId="77777777" w:rsidR="000A2655" w:rsidRDefault="000A26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30764" w14:textId="77777777" w:rsidR="00872D95" w:rsidRDefault="00872D95" w:rsidP="00E17E26">
      <w:pPr>
        <w:spacing w:after="0" w:line="240" w:lineRule="auto"/>
      </w:pPr>
      <w:r>
        <w:separator/>
      </w:r>
    </w:p>
  </w:footnote>
  <w:footnote w:type="continuationSeparator" w:id="0">
    <w:p w14:paraId="713C072F" w14:textId="77777777" w:rsidR="00872D95" w:rsidRDefault="00872D95" w:rsidP="00E17E26">
      <w:pPr>
        <w:spacing w:after="0" w:line="240" w:lineRule="auto"/>
      </w:pPr>
      <w:r>
        <w:continuationSeparator/>
      </w:r>
    </w:p>
  </w:footnote>
  <w:footnote w:id="1">
    <w:p w14:paraId="51AF7101" w14:textId="36B2C777" w:rsidR="00A97EB2" w:rsidRPr="00645E95" w:rsidRDefault="00A97EB2" w:rsidP="00645E95">
      <w:pPr>
        <w:pStyle w:val="Funotentext"/>
        <w:ind w:left="170" w:hanging="170"/>
        <w:rPr>
          <w:rFonts w:ascii="Arial" w:hAnsi="Arial" w:cs="Arial"/>
          <w:sz w:val="18"/>
          <w:szCs w:val="18"/>
        </w:rPr>
      </w:pPr>
      <w:r w:rsidRPr="00153768">
        <w:rPr>
          <w:rStyle w:val="Funotenzeichen"/>
          <w:rFonts w:ascii="Arial" w:hAnsi="Arial" w:cs="Arial"/>
          <w:sz w:val="18"/>
          <w:szCs w:val="18"/>
        </w:rPr>
        <w:footnoteRef/>
      </w:r>
      <w:r w:rsidRPr="00153768">
        <w:rPr>
          <w:rFonts w:ascii="Arial" w:hAnsi="Arial" w:cs="Arial"/>
          <w:sz w:val="18"/>
          <w:szCs w:val="18"/>
        </w:rPr>
        <w:t xml:space="preserve"> </w:t>
      </w:r>
      <w:r w:rsidR="00645E95" w:rsidRPr="00153768">
        <w:rPr>
          <w:rFonts w:ascii="Arial" w:hAnsi="Arial" w:cs="Arial"/>
          <w:sz w:val="18"/>
          <w:szCs w:val="18"/>
        </w:rPr>
        <w:tab/>
      </w:r>
      <w:r w:rsidRPr="00153768">
        <w:rPr>
          <w:rFonts w:ascii="Arial" w:hAnsi="Arial" w:cs="Arial"/>
          <w:sz w:val="18"/>
          <w:szCs w:val="18"/>
        </w:rPr>
        <w:t>Für die Länder umfasst dies länderübergreifende und landesinterne Dokumente.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B2EC" w14:textId="77777777" w:rsidR="000A2655" w:rsidRDefault="000A2655" w:rsidP="00E45BF2">
    <w:pPr>
      <w:pStyle w:val="Kopfzeile"/>
      <w:tabs>
        <w:tab w:val="clear" w:pos="4536"/>
        <w:tab w:val="clear" w:pos="9072"/>
        <w:tab w:val="left" w:pos="214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7"/>
      <w:gridCol w:w="4928"/>
      <w:gridCol w:w="1567"/>
    </w:tblGrid>
    <w:tr w:rsidR="000A2655" w:rsidRPr="00F3450F" w14:paraId="21615831" w14:textId="77777777" w:rsidTr="003D19AE">
      <w:trPr>
        <w:cantSplit/>
        <w:trHeight w:val="471"/>
        <w:jc w:val="center"/>
      </w:trPr>
      <w:tc>
        <w:tcPr>
          <w:tcW w:w="2587" w:type="dxa"/>
          <w:vAlign w:val="center"/>
        </w:tcPr>
        <w:p w14:paraId="453A9C3E" w14:textId="77777777" w:rsidR="000A2655" w:rsidRPr="00F3450F" w:rsidRDefault="000A2655" w:rsidP="003D19AE">
          <w:pPr>
            <w:tabs>
              <w:tab w:val="right" w:pos="9072"/>
            </w:tabs>
            <w:spacing w:after="0" w:line="240" w:lineRule="auto"/>
            <w:rPr>
              <w:rFonts w:ascii="Arial" w:hAnsi="Arial" w:cs="Arial"/>
              <w:b/>
              <w:bCs/>
              <w:sz w:val="24"/>
              <w:szCs w:val="24"/>
              <w:lang w:eastAsia="de-DE"/>
            </w:rPr>
          </w:pPr>
          <w:r w:rsidRPr="00F3450F">
            <w:rPr>
              <w:rFonts w:ascii="Arial" w:hAnsi="Arial" w:cs="Arial"/>
              <w:b/>
              <w:bCs/>
              <w:noProof/>
              <w:szCs w:val="24"/>
              <w:lang w:eastAsia="de-DE"/>
            </w:rPr>
            <w:t>Formular</w:t>
          </w:r>
        </w:p>
        <w:p w14:paraId="7488D5FB" w14:textId="1C9DDD4B" w:rsidR="000A2655" w:rsidRPr="00F3450F" w:rsidRDefault="003E5C7F" w:rsidP="00153768">
          <w:pPr>
            <w:tabs>
              <w:tab w:val="center" w:pos="4536"/>
              <w:tab w:val="right" w:pos="9072"/>
            </w:tabs>
            <w:spacing w:after="0" w:line="240" w:lineRule="auto"/>
            <w:rPr>
              <w:rFonts w:ascii="Arial" w:hAnsi="Arial" w:cs="Arial"/>
              <w:color w:val="000080"/>
              <w:sz w:val="20"/>
              <w:szCs w:val="24"/>
              <w:lang w:eastAsia="de-DE"/>
            </w:rPr>
          </w:pPr>
          <w:r>
            <w:rPr>
              <w:rFonts w:ascii="Arial" w:hAnsi="Arial" w:cs="Arial"/>
              <w:b/>
              <w:bCs/>
              <w:noProof/>
              <w:sz w:val="28"/>
              <w:szCs w:val="24"/>
              <w:lang w:eastAsia="de-DE"/>
            </w:rPr>
            <w:t>12111</w:t>
          </w:r>
          <w:r w:rsidR="000A2655">
            <w:rPr>
              <w:rFonts w:ascii="Arial" w:hAnsi="Arial" w:cs="Arial"/>
              <w:b/>
              <w:bCs/>
              <w:noProof/>
              <w:sz w:val="28"/>
              <w:szCs w:val="24"/>
              <w:lang w:eastAsia="de-DE"/>
            </w:rPr>
            <w:t>1_F01_</w:t>
          </w:r>
          <w:r w:rsidR="00153768">
            <w:rPr>
              <w:rFonts w:ascii="Arial" w:hAnsi="Arial" w:cs="Arial"/>
              <w:b/>
              <w:bCs/>
              <w:noProof/>
              <w:sz w:val="28"/>
              <w:szCs w:val="24"/>
              <w:lang w:eastAsia="de-DE"/>
            </w:rPr>
            <w:t>02</w:t>
          </w:r>
        </w:p>
      </w:tc>
      <w:tc>
        <w:tcPr>
          <w:tcW w:w="5043" w:type="dxa"/>
          <w:vAlign w:val="center"/>
        </w:tcPr>
        <w:p w14:paraId="6C18D4C4" w14:textId="50876EDA" w:rsidR="000A2655" w:rsidRPr="00F3450F" w:rsidRDefault="000747EC" w:rsidP="00372FD3">
          <w:pPr>
            <w:keepNext/>
            <w:spacing w:after="0" w:line="240" w:lineRule="auto"/>
            <w:outlineLvl w:val="0"/>
            <w:rPr>
              <w:rFonts w:ascii="Arial" w:hAnsi="Arial" w:cs="Arial"/>
              <w:b/>
              <w:bCs/>
              <w:color w:val="000000"/>
              <w:lang w:eastAsia="de-DE"/>
            </w:rPr>
          </w:pPr>
          <w:r w:rsidRPr="000747EC">
            <w:rPr>
              <w:rFonts w:ascii="Arial" w:hAnsi="Arial" w:cs="Arial"/>
              <w:b/>
              <w:bCs/>
              <w:color w:val="000000"/>
              <w:lang w:eastAsia="de-DE"/>
            </w:rPr>
            <w:t>Schaubild und Hinweise zu Kommunikationss</w:t>
          </w:r>
          <w:r>
            <w:rPr>
              <w:rFonts w:ascii="Arial" w:hAnsi="Arial" w:cs="Arial"/>
              <w:b/>
              <w:bCs/>
              <w:color w:val="000000"/>
              <w:lang w:eastAsia="de-DE"/>
            </w:rPr>
            <w:t>chnittstellen beteiligter Behör</w:t>
          </w:r>
          <w:r w:rsidRPr="000747EC">
            <w:rPr>
              <w:rFonts w:ascii="Arial" w:hAnsi="Arial" w:cs="Arial"/>
              <w:b/>
              <w:bCs/>
              <w:color w:val="000000"/>
              <w:lang w:eastAsia="de-DE"/>
            </w:rPr>
            <w:t>den und Stellen bei Rückrufen und Rapid-Alert-Meldungen der Klassen I und II</w:t>
          </w:r>
        </w:p>
      </w:tc>
      <w:tc>
        <w:tcPr>
          <w:tcW w:w="1582" w:type="dxa"/>
          <w:vAlign w:val="center"/>
        </w:tcPr>
        <w:p w14:paraId="0FA7547F" w14:textId="77777777" w:rsidR="000A2655" w:rsidRPr="00F3450F" w:rsidRDefault="000A2655" w:rsidP="003D19AE">
          <w:pPr>
            <w:tabs>
              <w:tab w:val="center" w:pos="4536"/>
              <w:tab w:val="right" w:pos="9072"/>
            </w:tabs>
            <w:spacing w:after="0" w:line="240" w:lineRule="auto"/>
            <w:ind w:left="12"/>
            <w:jc w:val="right"/>
            <w:rPr>
              <w:rFonts w:ascii="Arial" w:hAnsi="Arial" w:cs="Arial"/>
              <w:b/>
              <w:bCs/>
              <w:sz w:val="18"/>
              <w:szCs w:val="24"/>
              <w:lang w:eastAsia="de-DE"/>
            </w:rPr>
          </w:pPr>
        </w:p>
      </w:tc>
    </w:tr>
    <w:tr w:rsidR="000A2655" w:rsidRPr="00F3450F" w14:paraId="798559E7" w14:textId="77777777" w:rsidTr="003D19AE">
      <w:trPr>
        <w:cantSplit/>
        <w:trHeight w:val="22"/>
        <w:jc w:val="center"/>
      </w:trPr>
      <w:tc>
        <w:tcPr>
          <w:tcW w:w="7630" w:type="dxa"/>
          <w:gridSpan w:val="2"/>
          <w:vAlign w:val="center"/>
        </w:tcPr>
        <w:p w14:paraId="2E81114A" w14:textId="77777777" w:rsidR="000A2655" w:rsidRPr="00F3450F" w:rsidRDefault="000A2655" w:rsidP="003D19AE">
          <w:pPr>
            <w:tabs>
              <w:tab w:val="center" w:pos="4536"/>
              <w:tab w:val="right" w:pos="9072"/>
            </w:tabs>
            <w:spacing w:after="0" w:line="240" w:lineRule="auto"/>
            <w:rPr>
              <w:rFonts w:ascii="Arial" w:hAnsi="Arial" w:cs="Arial"/>
              <w:color w:val="000080"/>
              <w:sz w:val="20"/>
              <w:szCs w:val="24"/>
              <w:lang w:eastAsia="de-DE"/>
            </w:rPr>
          </w:pPr>
          <w:r w:rsidRPr="00F3450F">
            <w:rPr>
              <w:rFonts w:ascii="Arial" w:hAnsi="Arial" w:cs="Arial"/>
              <w:color w:val="000080"/>
              <w:sz w:val="20"/>
              <w:szCs w:val="24"/>
              <w:lang w:eastAsia="de-DE"/>
            </w:rPr>
            <w:t>Zentralstelle der Länder für Gesundheitsschutz</w:t>
          </w:r>
        </w:p>
        <w:p w14:paraId="28811448" w14:textId="77777777" w:rsidR="000A2655" w:rsidRPr="00F3450F" w:rsidRDefault="000A2655" w:rsidP="003D19AE">
          <w:pPr>
            <w:tabs>
              <w:tab w:val="center" w:pos="4536"/>
              <w:tab w:val="right" w:pos="9072"/>
            </w:tabs>
            <w:spacing w:after="0" w:line="240" w:lineRule="auto"/>
            <w:rPr>
              <w:rFonts w:ascii="Arial" w:hAnsi="Arial" w:cs="Arial"/>
              <w:b/>
              <w:bCs/>
              <w:sz w:val="24"/>
              <w:szCs w:val="24"/>
              <w:lang w:eastAsia="de-DE"/>
            </w:rPr>
          </w:pPr>
          <w:r w:rsidRPr="00F3450F">
            <w:rPr>
              <w:rFonts w:ascii="Arial" w:hAnsi="Arial" w:cs="Arial"/>
              <w:color w:val="000080"/>
              <w:sz w:val="20"/>
              <w:szCs w:val="24"/>
              <w:lang w:eastAsia="de-DE"/>
            </w:rPr>
            <w:t>bei Arzneimitteln und Medizinprodukten</w:t>
          </w:r>
        </w:p>
      </w:tc>
      <w:tc>
        <w:tcPr>
          <w:tcW w:w="1582" w:type="dxa"/>
          <w:vAlign w:val="center"/>
        </w:tcPr>
        <w:p w14:paraId="7AF3E42C" w14:textId="77777777" w:rsidR="000A2655" w:rsidRPr="00F3450F" w:rsidRDefault="000A2655" w:rsidP="003D19AE">
          <w:pPr>
            <w:tabs>
              <w:tab w:val="center" w:pos="4536"/>
              <w:tab w:val="right" w:pos="9072"/>
            </w:tabs>
            <w:spacing w:after="0" w:line="240" w:lineRule="auto"/>
            <w:jc w:val="right"/>
            <w:rPr>
              <w:rFonts w:ascii="Arial" w:hAnsi="Arial" w:cs="Arial"/>
              <w:b/>
              <w:bCs/>
              <w:sz w:val="24"/>
              <w:szCs w:val="24"/>
              <w:lang w:eastAsia="de-DE"/>
            </w:rPr>
          </w:pPr>
          <w:r>
            <w:rPr>
              <w:rFonts w:ascii="Arial" w:hAnsi="Arial" w:cs="Arial"/>
              <w:b/>
              <w:noProof/>
              <w:sz w:val="24"/>
              <w:szCs w:val="24"/>
              <w:lang w:eastAsia="de-DE"/>
            </w:rPr>
            <w:drawing>
              <wp:inline distT="0" distB="0" distL="0" distR="0" wp14:anchorId="3BCD00D3" wp14:editId="42A56F33">
                <wp:extent cx="560070" cy="2108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17801" t="25235" r="18921" b="37555"/>
                        <a:stretch>
                          <a:fillRect/>
                        </a:stretch>
                      </pic:blipFill>
                      <pic:spPr bwMode="auto">
                        <a:xfrm>
                          <a:off x="0" y="0"/>
                          <a:ext cx="560070" cy="210820"/>
                        </a:xfrm>
                        <a:prstGeom prst="rect">
                          <a:avLst/>
                        </a:prstGeom>
                        <a:noFill/>
                        <a:ln>
                          <a:noFill/>
                        </a:ln>
                      </pic:spPr>
                    </pic:pic>
                  </a:graphicData>
                </a:graphic>
              </wp:inline>
            </w:drawing>
          </w:r>
        </w:p>
      </w:tc>
    </w:tr>
  </w:tbl>
  <w:p w14:paraId="0BD6DEBE" w14:textId="77777777" w:rsidR="000A2655" w:rsidRDefault="000A2655" w:rsidP="00B714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485"/>
    <w:multiLevelType w:val="hybridMultilevel"/>
    <w:tmpl w:val="434E5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E0366"/>
    <w:multiLevelType w:val="hybridMultilevel"/>
    <w:tmpl w:val="2692FEDA"/>
    <w:lvl w:ilvl="0" w:tplc="FFFFFFFF">
      <w:start w:val="1"/>
      <w:numFmt w:val="decimal"/>
      <w:lvlText w:val="%1"/>
      <w:lvlJc w:val="left"/>
      <w:pPr>
        <w:tabs>
          <w:tab w:val="num" w:pos="360"/>
        </w:tabs>
        <w:ind w:left="360" w:hanging="360"/>
      </w:pPr>
      <w:rPr>
        <w:b/>
        <w:i w:val="0"/>
        <w:caps w:val="0"/>
        <w:strike w:val="0"/>
        <w:dstrike w:val="0"/>
        <w:shadow w:val="0"/>
        <w:emboss w:val="0"/>
        <w:imprint w:val="0"/>
        <w:vanish w:val="0"/>
        <w:color w:val="auto"/>
        <w:sz w:val="22"/>
        <w:szCs w:val="22"/>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3C3D98"/>
    <w:multiLevelType w:val="singleLevel"/>
    <w:tmpl w:val="9B628C04"/>
    <w:lvl w:ilvl="0">
      <w:start w:val="1"/>
      <w:numFmt w:val="decimal"/>
      <w:lvlText w:val="%1"/>
      <w:lvlJc w:val="left"/>
      <w:pPr>
        <w:tabs>
          <w:tab w:val="num" w:pos="360"/>
        </w:tabs>
        <w:ind w:left="360" w:hanging="360"/>
      </w:pPr>
      <w:rPr>
        <w:b/>
        <w:i w:val="0"/>
        <w:caps w:val="0"/>
        <w:strike w:val="0"/>
        <w:dstrike w:val="0"/>
        <w:shadow w:val="0"/>
        <w:emboss w:val="0"/>
        <w:imprint w:val="0"/>
        <w:vanish w:val="0"/>
        <w:color w:val="auto"/>
        <w:sz w:val="22"/>
        <w:szCs w:val="22"/>
        <w:vertAlign w:val="baseline"/>
      </w:rPr>
    </w:lvl>
  </w:abstractNum>
  <w:abstractNum w:abstractNumId="3" w15:restartNumberingAfterBreak="0">
    <w:nsid w:val="0CE55018"/>
    <w:multiLevelType w:val="hybridMultilevel"/>
    <w:tmpl w:val="EB70D0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AA669C"/>
    <w:multiLevelType w:val="hybridMultilevel"/>
    <w:tmpl w:val="83F27990"/>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27399"/>
    <w:multiLevelType w:val="hybridMultilevel"/>
    <w:tmpl w:val="14C0570C"/>
    <w:lvl w:ilvl="0" w:tplc="25549052">
      <w:start w:val="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FD5215"/>
    <w:multiLevelType w:val="hybridMultilevel"/>
    <w:tmpl w:val="48DA5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C5C70"/>
    <w:multiLevelType w:val="hybridMultilevel"/>
    <w:tmpl w:val="0E2C1B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C485AF8"/>
    <w:multiLevelType w:val="hybridMultilevel"/>
    <w:tmpl w:val="83AE1D1A"/>
    <w:lvl w:ilvl="0" w:tplc="F86024A0">
      <w:start w:val="1"/>
      <w:numFmt w:val="decimal"/>
      <w:pStyle w:val="SOPSOP-Tex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C30293"/>
    <w:multiLevelType w:val="hybridMultilevel"/>
    <w:tmpl w:val="E9F892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8C15A9"/>
    <w:multiLevelType w:val="hybridMultilevel"/>
    <w:tmpl w:val="D1A67674"/>
    <w:lvl w:ilvl="0" w:tplc="9D207C58">
      <w:start w:val="1"/>
      <w:numFmt w:val="bullet"/>
      <w:pStyle w:val="SOPSOP-TextAUFZHLUNG"/>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15:restartNumberingAfterBreak="0">
    <w:nsid w:val="4D82398D"/>
    <w:multiLevelType w:val="hybridMultilevel"/>
    <w:tmpl w:val="355C55E6"/>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B3F03"/>
    <w:multiLevelType w:val="hybridMultilevel"/>
    <w:tmpl w:val="AF968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27758B"/>
    <w:multiLevelType w:val="hybridMultilevel"/>
    <w:tmpl w:val="29A2AD0A"/>
    <w:lvl w:ilvl="0" w:tplc="5CC6A8D2">
      <w:numFmt w:val="bullet"/>
      <w:lvlText w:val="•"/>
      <w:lvlJc w:val="left"/>
      <w:pPr>
        <w:ind w:left="1070" w:hanging="7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694627"/>
    <w:multiLevelType w:val="hybridMultilevel"/>
    <w:tmpl w:val="EF1CB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1"/>
  </w:num>
  <w:num w:numId="6">
    <w:abstractNumId w:val="10"/>
  </w:num>
  <w:num w:numId="7">
    <w:abstractNumId w:val="11"/>
  </w:num>
  <w:num w:numId="8">
    <w:abstractNumId w:val="4"/>
  </w:num>
  <w:num w:numId="9">
    <w:abstractNumId w:val="3"/>
  </w:num>
  <w:num w:numId="10">
    <w:abstractNumId w:val="12"/>
  </w:num>
  <w:num w:numId="11">
    <w:abstractNumId w:val="8"/>
  </w:num>
  <w:num w:numId="12">
    <w:abstractNumId w:val="8"/>
  </w:num>
  <w:num w:numId="13">
    <w:abstractNumId w:val="9"/>
  </w:num>
  <w:num w:numId="14">
    <w:abstractNumId w:val="1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12"/>
    <w:rsid w:val="000027CC"/>
    <w:rsid w:val="00043B59"/>
    <w:rsid w:val="00060162"/>
    <w:rsid w:val="000747EC"/>
    <w:rsid w:val="00077CDF"/>
    <w:rsid w:val="00090365"/>
    <w:rsid w:val="000A2655"/>
    <w:rsid w:val="000A77F3"/>
    <w:rsid w:val="000A7A8F"/>
    <w:rsid w:val="000F3353"/>
    <w:rsid w:val="00104F38"/>
    <w:rsid w:val="00110901"/>
    <w:rsid w:val="00126B70"/>
    <w:rsid w:val="00141FDB"/>
    <w:rsid w:val="00153768"/>
    <w:rsid w:val="0019676E"/>
    <w:rsid w:val="001A0B61"/>
    <w:rsid w:val="001A2448"/>
    <w:rsid w:val="001D2A8C"/>
    <w:rsid w:val="001D49DD"/>
    <w:rsid w:val="001F3280"/>
    <w:rsid w:val="001F6230"/>
    <w:rsid w:val="002218A3"/>
    <w:rsid w:val="00231ACA"/>
    <w:rsid w:val="002554E2"/>
    <w:rsid w:val="0026711C"/>
    <w:rsid w:val="002B49B2"/>
    <w:rsid w:val="002C0A59"/>
    <w:rsid w:val="002C5F66"/>
    <w:rsid w:val="003079B8"/>
    <w:rsid w:val="00310D1A"/>
    <w:rsid w:val="00322183"/>
    <w:rsid w:val="003229F7"/>
    <w:rsid w:val="0034125A"/>
    <w:rsid w:val="00357BE9"/>
    <w:rsid w:val="0036407F"/>
    <w:rsid w:val="00366196"/>
    <w:rsid w:val="00367CA3"/>
    <w:rsid w:val="00370A1F"/>
    <w:rsid w:val="00372FD3"/>
    <w:rsid w:val="003C322D"/>
    <w:rsid w:val="003D19AE"/>
    <w:rsid w:val="003D5AD9"/>
    <w:rsid w:val="003E3737"/>
    <w:rsid w:val="003E5C7F"/>
    <w:rsid w:val="00401C41"/>
    <w:rsid w:val="00402704"/>
    <w:rsid w:val="00404989"/>
    <w:rsid w:val="00405CBA"/>
    <w:rsid w:val="0045355C"/>
    <w:rsid w:val="00456194"/>
    <w:rsid w:val="00461465"/>
    <w:rsid w:val="00466C3A"/>
    <w:rsid w:val="004705E7"/>
    <w:rsid w:val="0048372C"/>
    <w:rsid w:val="004B5645"/>
    <w:rsid w:val="004F06F3"/>
    <w:rsid w:val="00524F09"/>
    <w:rsid w:val="005407A5"/>
    <w:rsid w:val="00560733"/>
    <w:rsid w:val="00573F00"/>
    <w:rsid w:val="00596FC3"/>
    <w:rsid w:val="005B7BF6"/>
    <w:rsid w:val="00602292"/>
    <w:rsid w:val="00625264"/>
    <w:rsid w:val="00630D95"/>
    <w:rsid w:val="00641D0B"/>
    <w:rsid w:val="00645E95"/>
    <w:rsid w:val="006556B1"/>
    <w:rsid w:val="006654AB"/>
    <w:rsid w:val="00676073"/>
    <w:rsid w:val="006815A6"/>
    <w:rsid w:val="006A5B36"/>
    <w:rsid w:val="006B5F78"/>
    <w:rsid w:val="006D1F24"/>
    <w:rsid w:val="006D425F"/>
    <w:rsid w:val="006E51E5"/>
    <w:rsid w:val="00704B1F"/>
    <w:rsid w:val="00705264"/>
    <w:rsid w:val="00705489"/>
    <w:rsid w:val="007228FC"/>
    <w:rsid w:val="00724171"/>
    <w:rsid w:val="00744CB1"/>
    <w:rsid w:val="0074776F"/>
    <w:rsid w:val="00762090"/>
    <w:rsid w:val="00781097"/>
    <w:rsid w:val="00783912"/>
    <w:rsid w:val="00784116"/>
    <w:rsid w:val="007901BA"/>
    <w:rsid w:val="007B372F"/>
    <w:rsid w:val="007C44B1"/>
    <w:rsid w:val="007E7AC2"/>
    <w:rsid w:val="007F120D"/>
    <w:rsid w:val="007F27D3"/>
    <w:rsid w:val="007F41D7"/>
    <w:rsid w:val="00804918"/>
    <w:rsid w:val="00804EB9"/>
    <w:rsid w:val="008120A6"/>
    <w:rsid w:val="00837D25"/>
    <w:rsid w:val="00865571"/>
    <w:rsid w:val="00871F99"/>
    <w:rsid w:val="00872D95"/>
    <w:rsid w:val="008B78EA"/>
    <w:rsid w:val="008C2000"/>
    <w:rsid w:val="008D06F4"/>
    <w:rsid w:val="008D6B64"/>
    <w:rsid w:val="008E667D"/>
    <w:rsid w:val="008F10C1"/>
    <w:rsid w:val="00913C51"/>
    <w:rsid w:val="00914651"/>
    <w:rsid w:val="00925186"/>
    <w:rsid w:val="00936919"/>
    <w:rsid w:val="00944852"/>
    <w:rsid w:val="00963706"/>
    <w:rsid w:val="00973E93"/>
    <w:rsid w:val="00984F14"/>
    <w:rsid w:val="00991E96"/>
    <w:rsid w:val="009B524B"/>
    <w:rsid w:val="009C0860"/>
    <w:rsid w:val="009D0FB3"/>
    <w:rsid w:val="009F529C"/>
    <w:rsid w:val="00A20326"/>
    <w:rsid w:val="00A21012"/>
    <w:rsid w:val="00A33B34"/>
    <w:rsid w:val="00A5443D"/>
    <w:rsid w:val="00A5730B"/>
    <w:rsid w:val="00A72243"/>
    <w:rsid w:val="00A874E7"/>
    <w:rsid w:val="00A91D49"/>
    <w:rsid w:val="00A97541"/>
    <w:rsid w:val="00A97E97"/>
    <w:rsid w:val="00A97EB2"/>
    <w:rsid w:val="00AA1287"/>
    <w:rsid w:val="00AA2E2C"/>
    <w:rsid w:val="00AD5A6D"/>
    <w:rsid w:val="00AE49AC"/>
    <w:rsid w:val="00AF7B19"/>
    <w:rsid w:val="00B0615E"/>
    <w:rsid w:val="00B1395E"/>
    <w:rsid w:val="00B15130"/>
    <w:rsid w:val="00B437C8"/>
    <w:rsid w:val="00B450B7"/>
    <w:rsid w:val="00B46108"/>
    <w:rsid w:val="00B6165F"/>
    <w:rsid w:val="00B66D95"/>
    <w:rsid w:val="00B67328"/>
    <w:rsid w:val="00B7144C"/>
    <w:rsid w:val="00B7435D"/>
    <w:rsid w:val="00B907CB"/>
    <w:rsid w:val="00BA277F"/>
    <w:rsid w:val="00BC5180"/>
    <w:rsid w:val="00BE1ADB"/>
    <w:rsid w:val="00BE6C93"/>
    <w:rsid w:val="00BF5E2E"/>
    <w:rsid w:val="00C04857"/>
    <w:rsid w:val="00C07057"/>
    <w:rsid w:val="00C143A5"/>
    <w:rsid w:val="00C32B4B"/>
    <w:rsid w:val="00C54A9D"/>
    <w:rsid w:val="00C55977"/>
    <w:rsid w:val="00CA4018"/>
    <w:rsid w:val="00CE6402"/>
    <w:rsid w:val="00CF5226"/>
    <w:rsid w:val="00CF6661"/>
    <w:rsid w:val="00D04760"/>
    <w:rsid w:val="00D16EA9"/>
    <w:rsid w:val="00D2117E"/>
    <w:rsid w:val="00D368C5"/>
    <w:rsid w:val="00D37193"/>
    <w:rsid w:val="00D9278B"/>
    <w:rsid w:val="00D97F7D"/>
    <w:rsid w:val="00DA1916"/>
    <w:rsid w:val="00DA6CA2"/>
    <w:rsid w:val="00DB17B2"/>
    <w:rsid w:val="00DB2E06"/>
    <w:rsid w:val="00DC391A"/>
    <w:rsid w:val="00DF15EF"/>
    <w:rsid w:val="00E15CAC"/>
    <w:rsid w:val="00E17E26"/>
    <w:rsid w:val="00E20BD5"/>
    <w:rsid w:val="00E31748"/>
    <w:rsid w:val="00E45BF2"/>
    <w:rsid w:val="00E54F91"/>
    <w:rsid w:val="00EA512A"/>
    <w:rsid w:val="00EB5379"/>
    <w:rsid w:val="00EC1F5C"/>
    <w:rsid w:val="00EF2EF1"/>
    <w:rsid w:val="00F02015"/>
    <w:rsid w:val="00F11ACF"/>
    <w:rsid w:val="00F13E3E"/>
    <w:rsid w:val="00F3450F"/>
    <w:rsid w:val="00F56E2A"/>
    <w:rsid w:val="00F622D2"/>
    <w:rsid w:val="00F634FF"/>
    <w:rsid w:val="00F63513"/>
    <w:rsid w:val="00F7542B"/>
    <w:rsid w:val="00F80BA3"/>
    <w:rsid w:val="00F8771D"/>
    <w:rsid w:val="00F92909"/>
    <w:rsid w:val="00F95BED"/>
    <w:rsid w:val="00FC4B50"/>
    <w:rsid w:val="00FD2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68C4481"/>
  <w14:defaultImageDpi w14:val="96"/>
  <w15:docId w15:val="{80AE5798-DAE3-4407-A2CE-1DF59C73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autoRedefine/>
    <w:qFormat/>
    <w:rsid w:val="00724171"/>
    <w:pPr>
      <w:widowControl w:val="0"/>
      <w:spacing w:before="120" w:after="120" w:line="240" w:lineRule="auto"/>
      <w:ind w:left="8"/>
      <w:outlineLvl w:val="0"/>
    </w:pPr>
    <w:rPr>
      <w:rFonts w:ascii="Arial" w:hAnsi="Arial"/>
      <w:b/>
      <w:color w:val="000000"/>
      <w:sz w:val="24"/>
      <w:szCs w:val="20"/>
      <w:lang w:eastAsia="de-DE"/>
    </w:rPr>
  </w:style>
  <w:style w:type="paragraph" w:styleId="berschrift3">
    <w:name w:val="heading 3"/>
    <w:basedOn w:val="Standard"/>
    <w:next w:val="Standard"/>
    <w:link w:val="berschrift3Zchn"/>
    <w:uiPriority w:val="9"/>
    <w:semiHidden/>
    <w:unhideWhenUsed/>
    <w:qFormat/>
    <w:rsid w:val="00E45B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8">
    <w:name w:val="heading 8"/>
    <w:basedOn w:val="Standard"/>
    <w:next w:val="Standard"/>
    <w:link w:val="berschrift8Zchn"/>
    <w:uiPriority w:val="9"/>
    <w:semiHidden/>
    <w:unhideWhenUsed/>
    <w:qFormat/>
    <w:rsid w:val="00E45B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210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22D2"/>
    <w:pPr>
      <w:ind w:left="720"/>
      <w:contextualSpacing/>
    </w:pPr>
  </w:style>
  <w:style w:type="paragraph" w:styleId="Kopfzeile">
    <w:name w:val="header"/>
    <w:basedOn w:val="Standard"/>
    <w:link w:val="KopfzeileZchn"/>
    <w:uiPriority w:val="99"/>
    <w:unhideWhenUsed/>
    <w:rsid w:val="00E17E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17E26"/>
    <w:rPr>
      <w:rFonts w:cs="Times New Roman"/>
    </w:rPr>
  </w:style>
  <w:style w:type="paragraph" w:styleId="Fuzeile">
    <w:name w:val="footer"/>
    <w:basedOn w:val="Standard"/>
    <w:link w:val="FuzeileZchn"/>
    <w:uiPriority w:val="99"/>
    <w:unhideWhenUsed/>
    <w:rsid w:val="00E17E2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17E26"/>
    <w:rPr>
      <w:rFonts w:cs="Times New Roman"/>
    </w:rPr>
  </w:style>
  <w:style w:type="paragraph" w:styleId="Sprechblasentext">
    <w:name w:val="Balloon Text"/>
    <w:basedOn w:val="Standard"/>
    <w:link w:val="SprechblasentextZchn"/>
    <w:uiPriority w:val="99"/>
    <w:semiHidden/>
    <w:unhideWhenUsed/>
    <w:rsid w:val="00F345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3450F"/>
    <w:rPr>
      <w:rFonts w:ascii="Tahoma" w:hAnsi="Tahoma" w:cs="Tahoma"/>
      <w:sz w:val="16"/>
      <w:szCs w:val="16"/>
    </w:rPr>
  </w:style>
  <w:style w:type="character" w:styleId="Kommentarzeichen">
    <w:name w:val="annotation reference"/>
    <w:basedOn w:val="Absatz-Standardschriftart"/>
    <w:uiPriority w:val="99"/>
    <w:semiHidden/>
    <w:unhideWhenUsed/>
    <w:rsid w:val="00C04857"/>
    <w:rPr>
      <w:sz w:val="16"/>
      <w:szCs w:val="16"/>
    </w:rPr>
  </w:style>
  <w:style w:type="paragraph" w:styleId="Kommentartext">
    <w:name w:val="annotation text"/>
    <w:basedOn w:val="Standard"/>
    <w:link w:val="KommentartextZchn"/>
    <w:unhideWhenUsed/>
    <w:rsid w:val="00C04857"/>
    <w:pPr>
      <w:spacing w:line="240" w:lineRule="auto"/>
    </w:pPr>
    <w:rPr>
      <w:sz w:val="20"/>
      <w:szCs w:val="20"/>
    </w:rPr>
  </w:style>
  <w:style w:type="character" w:customStyle="1" w:styleId="KommentartextZchn">
    <w:name w:val="Kommentartext Zchn"/>
    <w:basedOn w:val="Absatz-Standardschriftart"/>
    <w:link w:val="Kommentartext"/>
    <w:rsid w:val="00C04857"/>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C04857"/>
    <w:rPr>
      <w:b/>
      <w:bCs/>
    </w:rPr>
  </w:style>
  <w:style w:type="character" w:customStyle="1" w:styleId="KommentarthemaZchn">
    <w:name w:val="Kommentarthema Zchn"/>
    <w:basedOn w:val="KommentartextZchn"/>
    <w:link w:val="Kommentarthema"/>
    <w:uiPriority w:val="99"/>
    <w:semiHidden/>
    <w:rsid w:val="00C04857"/>
    <w:rPr>
      <w:rFonts w:cs="Times New Roman"/>
      <w:b/>
      <w:bCs/>
      <w:sz w:val="20"/>
      <w:szCs w:val="20"/>
    </w:rPr>
  </w:style>
  <w:style w:type="character" w:customStyle="1" w:styleId="berschrift1Zchn">
    <w:name w:val="Überschrift 1 Zchn"/>
    <w:basedOn w:val="Absatz-Standardschriftart"/>
    <w:link w:val="berschrift1"/>
    <w:rsid w:val="00724171"/>
    <w:rPr>
      <w:rFonts w:ascii="Arial" w:hAnsi="Arial" w:cs="Times New Roman"/>
      <w:b/>
      <w:color w:val="000000"/>
      <w:sz w:val="24"/>
      <w:szCs w:val="20"/>
      <w:lang w:eastAsia="de-DE"/>
    </w:rPr>
  </w:style>
  <w:style w:type="character" w:styleId="Platzhaltertext">
    <w:name w:val="Placeholder Text"/>
    <w:basedOn w:val="Absatz-Standardschriftart"/>
    <w:uiPriority w:val="99"/>
    <w:semiHidden/>
    <w:rsid w:val="00724171"/>
    <w:rPr>
      <w:color w:val="808080"/>
    </w:rPr>
  </w:style>
  <w:style w:type="character" w:customStyle="1" w:styleId="berschrift3Zchn">
    <w:name w:val="Überschrift 3 Zchn"/>
    <w:basedOn w:val="Absatz-Standardschriftart"/>
    <w:link w:val="berschrift3"/>
    <w:uiPriority w:val="9"/>
    <w:semiHidden/>
    <w:rsid w:val="00E45BF2"/>
    <w:rPr>
      <w:rFonts w:asciiTheme="majorHAnsi" w:eastAsiaTheme="majorEastAsia" w:hAnsiTheme="majorHAnsi" w:cstheme="majorBidi"/>
      <w:color w:val="1F4D78" w:themeColor="accent1" w:themeShade="7F"/>
      <w:sz w:val="24"/>
      <w:szCs w:val="24"/>
    </w:rPr>
  </w:style>
  <w:style w:type="character" w:customStyle="1" w:styleId="berschrift8Zchn">
    <w:name w:val="Überschrift 8 Zchn"/>
    <w:basedOn w:val="Absatz-Standardschriftart"/>
    <w:link w:val="berschrift8"/>
    <w:uiPriority w:val="9"/>
    <w:semiHidden/>
    <w:rsid w:val="00E45BF2"/>
    <w:rPr>
      <w:rFonts w:asciiTheme="majorHAnsi" w:eastAsiaTheme="majorEastAsia" w:hAnsiTheme="majorHAnsi" w:cstheme="majorBidi"/>
      <w:color w:val="272727" w:themeColor="text1" w:themeTint="D8"/>
      <w:sz w:val="21"/>
      <w:szCs w:val="21"/>
    </w:rPr>
  </w:style>
  <w:style w:type="character" w:customStyle="1" w:styleId="Listentitel">
    <w:name w:val="Listentitel"/>
    <w:rsid w:val="00DA1916"/>
    <w:rPr>
      <w:rFonts w:ascii="Arial" w:hAnsi="Arial"/>
      <w:b/>
      <w:bCs/>
    </w:rPr>
  </w:style>
  <w:style w:type="paragraph" w:customStyle="1" w:styleId="Listenkopf">
    <w:name w:val="Listenkopf"/>
    <w:basedOn w:val="Standard"/>
    <w:next w:val="Standard"/>
    <w:rsid w:val="00DA1916"/>
    <w:pPr>
      <w:tabs>
        <w:tab w:val="left" w:pos="227"/>
      </w:tabs>
      <w:autoSpaceDE w:val="0"/>
      <w:autoSpaceDN w:val="0"/>
      <w:spacing w:before="60" w:after="0" w:line="240" w:lineRule="auto"/>
      <w:ind w:left="227" w:hanging="227"/>
    </w:pPr>
    <w:rPr>
      <w:rFonts w:ascii="Arial" w:hAnsi="Arial"/>
      <w:sz w:val="24"/>
      <w:szCs w:val="24"/>
      <w:lang w:eastAsia="de-DE"/>
    </w:rPr>
  </w:style>
  <w:style w:type="paragraph" w:styleId="Textkrper3">
    <w:name w:val="Body Text 3"/>
    <w:basedOn w:val="Standard"/>
    <w:link w:val="Textkrper3Zchn"/>
    <w:rsid w:val="00DA1916"/>
    <w:pPr>
      <w:tabs>
        <w:tab w:val="left" w:pos="360"/>
      </w:tabs>
      <w:autoSpaceDE w:val="0"/>
      <w:autoSpaceDN w:val="0"/>
      <w:spacing w:after="0" w:line="240" w:lineRule="auto"/>
    </w:pPr>
    <w:rPr>
      <w:rFonts w:ascii="Arial" w:hAnsi="Arial"/>
      <w:szCs w:val="24"/>
      <w:lang w:eastAsia="de-DE"/>
    </w:rPr>
  </w:style>
  <w:style w:type="character" w:customStyle="1" w:styleId="Textkrper3Zchn">
    <w:name w:val="Textkörper 3 Zchn"/>
    <w:basedOn w:val="Absatz-Standardschriftart"/>
    <w:link w:val="Textkrper3"/>
    <w:rsid w:val="00DA1916"/>
    <w:rPr>
      <w:rFonts w:ascii="Arial" w:hAnsi="Arial" w:cs="Times New Roman"/>
      <w:szCs w:val="24"/>
      <w:lang w:eastAsia="de-DE"/>
    </w:rPr>
  </w:style>
  <w:style w:type="paragraph" w:customStyle="1" w:styleId="SOPSOP-Text">
    <w:name w:val="SOPSOP-Text"/>
    <w:basedOn w:val="Standard"/>
    <w:link w:val="SOPSOP-TextZchn"/>
    <w:autoRedefine/>
    <w:qFormat/>
    <w:rsid w:val="00973E93"/>
    <w:pPr>
      <w:keepNext/>
      <w:numPr>
        <w:numId w:val="11"/>
      </w:numPr>
      <w:tabs>
        <w:tab w:val="left" w:pos="454"/>
      </w:tabs>
      <w:spacing w:before="360" w:after="120" w:line="240" w:lineRule="auto"/>
      <w:ind w:left="454" w:hanging="454"/>
      <w:outlineLvl w:val="0"/>
    </w:pPr>
    <w:rPr>
      <w:rFonts w:ascii="Arial" w:eastAsiaTheme="minorHAnsi" w:hAnsi="Arial" w:cs="Arial"/>
      <w:b/>
    </w:rPr>
  </w:style>
  <w:style w:type="character" w:customStyle="1" w:styleId="SOPSOP-TextZchn">
    <w:name w:val="SOPSOP-Text Zchn"/>
    <w:link w:val="SOPSOP-Text"/>
    <w:rsid w:val="00973E93"/>
    <w:rPr>
      <w:rFonts w:ascii="Arial" w:eastAsiaTheme="minorHAnsi" w:hAnsi="Arial" w:cs="Arial"/>
      <w:b/>
    </w:rPr>
  </w:style>
  <w:style w:type="paragraph" w:customStyle="1" w:styleId="SOPSOP-TextAUFZHLUNG">
    <w:name w:val="SOPSOP-Text_AUFZÄHLUNG"/>
    <w:basedOn w:val="SOPSOP-Text"/>
    <w:autoRedefine/>
    <w:qFormat/>
    <w:rsid w:val="00B7435D"/>
    <w:pPr>
      <w:numPr>
        <w:numId w:val="6"/>
      </w:numPr>
      <w:tabs>
        <w:tab w:val="num" w:pos="360"/>
      </w:tabs>
      <w:ind w:left="641" w:hanging="284"/>
    </w:pPr>
  </w:style>
  <w:style w:type="paragraph" w:customStyle="1" w:styleId="Rckseite">
    <w:name w:val="Rückseite"/>
    <w:basedOn w:val="Standard"/>
    <w:rsid w:val="00B450B7"/>
    <w:pPr>
      <w:spacing w:after="0" w:line="240" w:lineRule="auto"/>
      <w:ind w:left="1134" w:hanging="1134"/>
    </w:pPr>
    <w:rPr>
      <w:rFonts w:ascii="Arial" w:hAnsi="Arial"/>
      <w:b/>
      <w:szCs w:val="24"/>
      <w:lang w:eastAsia="de-DE"/>
    </w:rPr>
  </w:style>
  <w:style w:type="paragraph" w:customStyle="1" w:styleId="SOPTextneu2021">
    <w:name w:val="SOP_Text_neu_2021"/>
    <w:basedOn w:val="Standard"/>
    <w:link w:val="SOPTextneu2021Zchn"/>
    <w:qFormat/>
    <w:rsid w:val="00B450B7"/>
    <w:pPr>
      <w:overflowPunct w:val="0"/>
      <w:autoSpaceDE w:val="0"/>
      <w:autoSpaceDN w:val="0"/>
      <w:adjustRightInd w:val="0"/>
      <w:spacing w:after="120" w:line="240" w:lineRule="auto"/>
      <w:ind w:left="284"/>
      <w:jc w:val="both"/>
      <w:textAlignment w:val="baseline"/>
    </w:pPr>
    <w:rPr>
      <w:rFonts w:ascii="Arial" w:hAnsi="Arial" w:cs="Arial"/>
      <w:color w:val="000000"/>
      <w:lang w:eastAsia="de-DE"/>
    </w:rPr>
  </w:style>
  <w:style w:type="character" w:customStyle="1" w:styleId="SOPTextneu2021Zchn">
    <w:name w:val="SOP_Text_neu_2021 Zchn"/>
    <w:basedOn w:val="Absatz-Standardschriftart"/>
    <w:link w:val="SOPTextneu2021"/>
    <w:rsid w:val="00B450B7"/>
    <w:rPr>
      <w:rFonts w:ascii="Arial" w:hAnsi="Arial" w:cs="Arial"/>
      <w:color w:val="000000"/>
      <w:lang w:eastAsia="de-DE"/>
    </w:rPr>
  </w:style>
  <w:style w:type="character" w:styleId="Hyperlink">
    <w:name w:val="Hyperlink"/>
    <w:uiPriority w:val="99"/>
    <w:rsid w:val="00372FD3"/>
    <w:rPr>
      <w:color w:val="0000FF"/>
      <w:u w:val="single"/>
    </w:rPr>
  </w:style>
  <w:style w:type="character" w:styleId="IntensiveHervorhebung">
    <w:name w:val="Intense Emphasis"/>
    <w:uiPriority w:val="21"/>
    <w:qFormat/>
    <w:rsid w:val="00A874E7"/>
    <w:rPr>
      <w:b/>
      <w:bCs/>
      <w:i/>
      <w:iCs/>
      <w:color w:val="4F81BD"/>
    </w:rPr>
  </w:style>
  <w:style w:type="paragraph" w:styleId="Funotentext">
    <w:name w:val="footnote text"/>
    <w:basedOn w:val="Standard"/>
    <w:link w:val="FunotentextZchn"/>
    <w:uiPriority w:val="99"/>
    <w:semiHidden/>
    <w:unhideWhenUsed/>
    <w:rsid w:val="00A97E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7EB2"/>
    <w:rPr>
      <w:rFonts w:cs="Times New Roman"/>
      <w:sz w:val="20"/>
      <w:szCs w:val="20"/>
    </w:rPr>
  </w:style>
  <w:style w:type="character" w:styleId="Funotenzeichen">
    <w:name w:val="footnote reference"/>
    <w:basedOn w:val="Absatz-Standardschriftart"/>
    <w:uiPriority w:val="99"/>
    <w:semiHidden/>
    <w:unhideWhenUsed/>
    <w:rsid w:val="00A97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72230">
      <w:bodyDiv w:val="1"/>
      <w:marLeft w:val="0"/>
      <w:marRight w:val="0"/>
      <w:marTop w:val="0"/>
      <w:marBottom w:val="0"/>
      <w:divBdr>
        <w:top w:val="none" w:sz="0" w:space="0" w:color="auto"/>
        <w:left w:val="none" w:sz="0" w:space="0" w:color="auto"/>
        <w:bottom w:val="none" w:sz="0" w:space="0" w:color="auto"/>
        <w:right w:val="none" w:sz="0" w:space="0" w:color="auto"/>
      </w:divBdr>
    </w:div>
    <w:div w:id="20283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2.bfarm.de/phvig/rapalert/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vl.bund.de/DE/05_Tierarzneimittel/01_Aufgaben/04_UeberwachungBetreuung/03_Risikokommunikation/Verteilerliste/Email-Verteiler.html?nn=16228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2.bfarm.de/phvig/rapalert/index.ph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vl.bund.de/DE/05_Tierarzneimittel/01_Aufgaben/04_UeberwachungBetreuung/03_Risikokommunikation/Verteilerliste/Email-Verteiler.html?nn=16228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C57E-F9CE-48FE-995A-433E105F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2096</Words>
  <Characters>14251</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S2</dc:creator>
  <cp:lastModifiedBy>Reder-Christ, Katrin (ZLG)</cp:lastModifiedBy>
  <cp:revision>3</cp:revision>
  <cp:lastPrinted>2016-06-03T11:18:00Z</cp:lastPrinted>
  <dcterms:created xsi:type="dcterms:W3CDTF">2023-02-06T13:12:00Z</dcterms:created>
  <dcterms:modified xsi:type="dcterms:W3CDTF">2023-02-06T13:16:00Z</dcterms:modified>
</cp:coreProperties>
</file>